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9B9B6" w14:textId="5D40D3FD" w:rsidR="006E24D4" w:rsidRDefault="006E24D4" w:rsidP="006E24D4">
      <w:pPr>
        <w:shd w:val="clear" w:color="auto" w:fill="FFFFFF"/>
        <w:spacing w:before="280"/>
        <w:outlineLvl w:val="2"/>
        <w:rPr>
          <w:rFonts w:ascii="Arial" w:eastAsia="Times New Roman" w:hAnsi="Arial" w:cs="Arial"/>
          <w:i/>
          <w:iCs/>
          <w:color w:val="222222"/>
          <w:sz w:val="22"/>
          <w:szCs w:val="22"/>
          <w:lang w:val="pl-PL" w:eastAsia="sv-SE"/>
        </w:rPr>
      </w:pPr>
      <w:r>
        <w:rPr>
          <w:rFonts w:ascii="Arial" w:eastAsia="Times New Roman" w:hAnsi="Arial" w:cs="Arial"/>
          <w:i/>
          <w:iCs/>
          <w:color w:val="222222"/>
          <w:sz w:val="22"/>
          <w:szCs w:val="22"/>
          <w:lang w:val="pl-PL" w:eastAsia="sv-SE"/>
        </w:rPr>
        <w:t>(</w:t>
      </w:r>
      <w:r w:rsidRPr="006E24D4">
        <w:rPr>
          <w:rFonts w:ascii="Arial" w:eastAsia="Times New Roman" w:hAnsi="Arial" w:cs="Arial"/>
          <w:i/>
          <w:iCs/>
          <w:color w:val="222222"/>
          <w:sz w:val="22"/>
          <w:szCs w:val="22"/>
          <w:lang w:val="pl-PL" w:eastAsia="sv-SE"/>
        </w:rPr>
        <w:t>Wprowadzenie do uwag</w:t>
      </w:r>
      <w:r>
        <w:rPr>
          <w:rFonts w:ascii="Arial" w:eastAsia="Times New Roman" w:hAnsi="Arial" w:cs="Arial"/>
          <w:i/>
          <w:iCs/>
          <w:color w:val="222222"/>
          <w:sz w:val="22"/>
          <w:szCs w:val="22"/>
          <w:lang w:val="pl-PL" w:eastAsia="sv-SE"/>
        </w:rPr>
        <w:t>)</w:t>
      </w:r>
    </w:p>
    <w:p w14:paraId="1F3C51CB" w14:textId="77777777" w:rsidR="006E24D4" w:rsidRDefault="006E24D4" w:rsidP="006E24D4">
      <w:pPr>
        <w:pBdr>
          <w:bottom w:val="single" w:sz="6" w:space="1" w:color="auto"/>
        </w:pBdr>
        <w:shd w:val="clear" w:color="auto" w:fill="FFFFFF"/>
        <w:spacing w:before="280"/>
        <w:outlineLvl w:val="2"/>
        <w:rPr>
          <w:rFonts w:ascii="Arial" w:eastAsia="Times New Roman" w:hAnsi="Arial" w:cs="Arial"/>
          <w:i/>
          <w:iCs/>
          <w:color w:val="222222"/>
          <w:sz w:val="22"/>
          <w:szCs w:val="22"/>
          <w:lang w:val="pl-PL" w:eastAsia="sv-SE"/>
        </w:rPr>
      </w:pPr>
    </w:p>
    <w:p w14:paraId="31580423" w14:textId="77777777" w:rsidR="006E24D4" w:rsidRPr="006E24D4" w:rsidRDefault="006E24D4" w:rsidP="006E24D4">
      <w:pPr>
        <w:shd w:val="clear" w:color="auto" w:fill="FFFFFF"/>
        <w:spacing w:before="280"/>
        <w:outlineLvl w:val="2"/>
        <w:rPr>
          <w:rFonts w:ascii="Arial" w:eastAsia="Times New Roman" w:hAnsi="Arial" w:cs="Arial"/>
          <w:i/>
          <w:iCs/>
          <w:color w:val="222222"/>
          <w:sz w:val="22"/>
          <w:szCs w:val="22"/>
          <w:lang w:val="pl-PL" w:eastAsia="sv-SE"/>
        </w:rPr>
      </w:pPr>
    </w:p>
    <w:p w14:paraId="1981A00C" w14:textId="58861F40" w:rsidR="006E24D4" w:rsidRPr="006E24D4" w:rsidRDefault="006E24D4" w:rsidP="006E24D4">
      <w:pPr>
        <w:shd w:val="clear" w:color="auto" w:fill="FFFFFF"/>
        <w:spacing w:before="280"/>
        <w:outlineLvl w:val="2"/>
        <w:rPr>
          <w:rFonts w:ascii="Arial" w:eastAsia="Times New Roman" w:hAnsi="Arial" w:cs="Arial"/>
          <w:b/>
          <w:bCs/>
          <w:color w:val="222222"/>
          <w:sz w:val="26"/>
          <w:szCs w:val="26"/>
          <w:lang w:val="pl-PL" w:eastAsia="sv-SE"/>
        </w:rPr>
      </w:pPr>
      <w:r w:rsidRPr="006E24D4">
        <w:rPr>
          <w:rFonts w:ascii="Arial" w:eastAsia="Times New Roman" w:hAnsi="Arial" w:cs="Arial"/>
          <w:b/>
          <w:bCs/>
          <w:color w:val="222222"/>
          <w:sz w:val="26"/>
          <w:szCs w:val="26"/>
          <w:lang w:val="pl-PL" w:eastAsia="sv-SE"/>
        </w:rPr>
        <w:t>Propozycja w</w:t>
      </w:r>
      <w:r w:rsidRPr="006E24D4">
        <w:rPr>
          <w:rFonts w:ascii="Arial" w:eastAsia="Times New Roman" w:hAnsi="Arial" w:cs="Arial"/>
          <w:b/>
          <w:bCs/>
          <w:color w:val="222222"/>
          <w:sz w:val="26"/>
          <w:szCs w:val="26"/>
          <w:lang w:val="pl-PL" w:eastAsia="sv-SE"/>
        </w:rPr>
        <w:t xml:space="preserve"> sprawie uwzględnienia mediów polonijnych w strategii współpracy z Polonią i Polakami za granicą na lata 2025-2030</w:t>
      </w:r>
    </w:p>
    <w:p w14:paraId="63BA3B62" w14:textId="77777777" w:rsidR="006E24D4" w:rsidRPr="006E24D4" w:rsidRDefault="006E24D4" w:rsidP="006E24D4">
      <w:pPr>
        <w:shd w:val="clear" w:color="auto" w:fill="FFFFFF"/>
        <w:spacing w:before="280"/>
        <w:outlineLvl w:val="2"/>
        <w:rPr>
          <w:rFonts w:ascii="Times New Roman" w:eastAsia="Times New Roman" w:hAnsi="Times New Roman" w:cs="Times New Roman"/>
          <w:b/>
          <w:bCs/>
          <w:color w:val="000000"/>
          <w:sz w:val="27"/>
          <w:szCs w:val="27"/>
          <w:lang w:val="pl-PL" w:eastAsia="sv-SE"/>
        </w:rPr>
      </w:pPr>
    </w:p>
    <w:p w14:paraId="1CE5B09F" w14:textId="48832596" w:rsidR="006E24D4" w:rsidRPr="006E24D4" w:rsidRDefault="006E24D4" w:rsidP="006E24D4">
      <w:pPr>
        <w:shd w:val="clear" w:color="auto" w:fill="FFFFFF"/>
        <w:rPr>
          <w:rFonts w:ascii="Arial" w:eastAsia="Times New Roman" w:hAnsi="Arial" w:cs="Arial"/>
          <w:b/>
          <w:bCs/>
          <w:color w:val="222222"/>
          <w:sz w:val="22"/>
          <w:szCs w:val="22"/>
          <w:lang w:val="pl-PL" w:eastAsia="sv-SE"/>
        </w:rPr>
      </w:pPr>
      <w:r w:rsidRPr="006E24D4">
        <w:rPr>
          <w:rFonts w:ascii="Arial" w:eastAsia="Times New Roman" w:hAnsi="Arial" w:cs="Arial"/>
          <w:b/>
          <w:bCs/>
          <w:color w:val="222222"/>
          <w:sz w:val="22"/>
          <w:szCs w:val="22"/>
          <w:lang w:val="pl-PL" w:eastAsia="sv-SE"/>
        </w:rPr>
        <w:t>Szanowni</w:t>
      </w:r>
      <w:r w:rsidRPr="006E24D4">
        <w:rPr>
          <w:rFonts w:ascii="Arial" w:eastAsia="Times New Roman" w:hAnsi="Arial" w:cs="Arial"/>
          <w:b/>
          <w:bCs/>
          <w:color w:val="222222"/>
          <w:sz w:val="22"/>
          <w:szCs w:val="22"/>
          <w:lang w:val="pl-PL" w:eastAsia="sv-SE"/>
        </w:rPr>
        <w:t xml:space="preserve"> Państwo,</w:t>
      </w:r>
    </w:p>
    <w:p w14:paraId="67C82050" w14:textId="77777777" w:rsidR="006E24D4" w:rsidRPr="006E24D4" w:rsidRDefault="006E24D4" w:rsidP="006E24D4">
      <w:pPr>
        <w:shd w:val="clear" w:color="auto" w:fill="FFFFFF"/>
        <w:rPr>
          <w:rFonts w:ascii="Times New Roman" w:eastAsia="Times New Roman" w:hAnsi="Times New Roman" w:cs="Times New Roman"/>
          <w:color w:val="000000"/>
          <w:lang w:val="pl-PL" w:eastAsia="sv-SE"/>
        </w:rPr>
      </w:pPr>
    </w:p>
    <w:p w14:paraId="62BBAF22" w14:textId="787A6798" w:rsidR="00FC2E03" w:rsidRPr="006E24D4" w:rsidRDefault="006E24D4" w:rsidP="006E24D4">
      <w:pPr>
        <w:rPr>
          <w:rFonts w:ascii="Arial" w:eastAsia="Times New Roman" w:hAnsi="Arial" w:cs="Arial"/>
          <w:color w:val="222222"/>
          <w:sz w:val="22"/>
          <w:szCs w:val="22"/>
          <w:lang w:val="pl-PL" w:eastAsia="sv-SE"/>
        </w:rPr>
      </w:pPr>
      <w:r w:rsidRPr="006E24D4">
        <w:rPr>
          <w:rFonts w:ascii="Arial" w:eastAsia="Times New Roman" w:hAnsi="Arial" w:cs="Arial"/>
          <w:color w:val="222222"/>
          <w:sz w:val="22"/>
          <w:szCs w:val="22"/>
          <w:lang w:val="pl-PL" w:eastAsia="sv-SE"/>
        </w:rPr>
        <w:t>Jako przedstawiciele</w:t>
      </w:r>
      <w:r w:rsidRPr="006E24D4">
        <w:rPr>
          <w:rFonts w:ascii="Arial" w:eastAsia="Times New Roman" w:hAnsi="Arial" w:cs="Arial"/>
          <w:color w:val="222222"/>
          <w:sz w:val="22"/>
          <w:szCs w:val="22"/>
          <w:lang w:val="pl-PL" w:eastAsia="sv-SE"/>
        </w:rPr>
        <w:t xml:space="preserve"> światowego środowiska mediów polonijnyc</w:t>
      </w:r>
      <w:r w:rsidR="00C22692">
        <w:rPr>
          <w:rFonts w:ascii="Arial" w:eastAsia="Times New Roman" w:hAnsi="Arial" w:cs="Arial"/>
          <w:color w:val="222222"/>
          <w:sz w:val="22"/>
          <w:szCs w:val="22"/>
          <w:lang w:val="pl-PL" w:eastAsia="sv-SE"/>
        </w:rPr>
        <w:t>h</w:t>
      </w:r>
      <w:r w:rsidRPr="006E24D4">
        <w:rPr>
          <w:rFonts w:ascii="Arial" w:eastAsia="Times New Roman" w:hAnsi="Arial" w:cs="Arial"/>
          <w:color w:val="222222"/>
          <w:sz w:val="22"/>
          <w:szCs w:val="22"/>
          <w:lang w:val="pl-PL" w:eastAsia="sv-SE"/>
        </w:rPr>
        <w:t xml:space="preserve">, zrzeszeni w Światowym Stowarzyszeniu Mediów Polonijnych </w:t>
      </w:r>
      <w:r w:rsidRPr="006E24D4">
        <w:rPr>
          <w:rFonts w:ascii="Arial" w:eastAsia="Times New Roman" w:hAnsi="Arial" w:cs="Arial"/>
          <w:color w:val="222222"/>
          <w:sz w:val="22"/>
          <w:szCs w:val="22"/>
          <w:lang w:val="pl-PL" w:eastAsia="sv-SE"/>
        </w:rPr>
        <w:t xml:space="preserve"> z wielkim zaniepokojeniem zauważamy brak odniesienia do roli mediów polonijnych w "Strategii współpracy z Polonią i Polakami za granicą na lata 2025-2030". Uważamy, że jest to poważne pominięcie, które może osłabić efektywność strategii oraz ograniczyć możliwości utrzymania więzi z Polonią na całym świecie.</w:t>
      </w:r>
    </w:p>
    <w:p w14:paraId="0971E58D" w14:textId="77777777" w:rsidR="006E24D4" w:rsidRPr="006E24D4" w:rsidRDefault="006E24D4" w:rsidP="006E24D4">
      <w:pPr>
        <w:pStyle w:val="Normalwebb"/>
        <w:shd w:val="clear" w:color="auto" w:fill="FFFFFF"/>
        <w:spacing w:before="200" w:beforeAutospacing="0" w:after="200" w:afterAutospacing="0"/>
        <w:rPr>
          <w:color w:val="000000"/>
          <w:lang w:val="pl-PL"/>
        </w:rPr>
      </w:pPr>
      <w:r w:rsidRPr="006E24D4">
        <w:rPr>
          <w:rFonts w:ascii="Arial" w:hAnsi="Arial" w:cs="Arial"/>
          <w:color w:val="222222"/>
          <w:sz w:val="22"/>
          <w:szCs w:val="22"/>
          <w:lang w:val="pl-PL"/>
        </w:rPr>
        <w:t>Media polonijne odgrywają kluczową rolę w:</w:t>
      </w:r>
    </w:p>
    <w:p w14:paraId="718009AB" w14:textId="77777777" w:rsidR="006E24D4" w:rsidRPr="006E24D4" w:rsidRDefault="006E24D4" w:rsidP="006E24D4">
      <w:pPr>
        <w:pStyle w:val="Normalwebb"/>
        <w:numPr>
          <w:ilvl w:val="0"/>
          <w:numId w:val="1"/>
        </w:numPr>
        <w:shd w:val="clear" w:color="auto" w:fill="FFFFFF"/>
        <w:spacing w:before="200" w:beforeAutospacing="0" w:after="0" w:afterAutospacing="0"/>
        <w:ind w:left="940"/>
        <w:textAlignment w:val="baseline"/>
        <w:rPr>
          <w:rFonts w:ascii="Arial" w:hAnsi="Arial" w:cs="Arial"/>
          <w:color w:val="222222"/>
          <w:sz w:val="22"/>
          <w:szCs w:val="22"/>
          <w:lang w:val="pl-PL"/>
        </w:rPr>
      </w:pPr>
      <w:r w:rsidRPr="006E24D4">
        <w:rPr>
          <w:rFonts w:ascii="Arial" w:hAnsi="Arial" w:cs="Arial"/>
          <w:color w:val="222222"/>
          <w:sz w:val="22"/>
          <w:szCs w:val="22"/>
          <w:lang w:val="pl-PL"/>
        </w:rPr>
        <w:t>Budowaniu i podtrzymywaniu tożsamości narodowej wśród Polonii</w:t>
      </w:r>
    </w:p>
    <w:p w14:paraId="57FFCED8" w14:textId="77777777" w:rsidR="006E24D4" w:rsidRPr="006E24D4" w:rsidRDefault="006E24D4" w:rsidP="006E24D4">
      <w:pPr>
        <w:pStyle w:val="Normalwebb"/>
        <w:numPr>
          <w:ilvl w:val="0"/>
          <w:numId w:val="1"/>
        </w:numPr>
        <w:shd w:val="clear" w:color="auto" w:fill="FFFFFF"/>
        <w:spacing w:before="0" w:beforeAutospacing="0" w:after="0" w:afterAutospacing="0"/>
        <w:ind w:left="940"/>
        <w:textAlignment w:val="baseline"/>
        <w:rPr>
          <w:rFonts w:ascii="Arial" w:hAnsi="Arial" w:cs="Arial"/>
          <w:color w:val="222222"/>
          <w:sz w:val="22"/>
          <w:szCs w:val="22"/>
          <w:lang w:val="pl-PL"/>
        </w:rPr>
      </w:pPr>
      <w:r w:rsidRPr="006E24D4">
        <w:rPr>
          <w:rFonts w:ascii="Arial" w:hAnsi="Arial" w:cs="Arial"/>
          <w:color w:val="222222"/>
          <w:sz w:val="22"/>
          <w:szCs w:val="22"/>
          <w:lang w:val="pl-PL"/>
        </w:rPr>
        <w:t>Promocji języka polskiego i kultury wśród kolejnych pokoleń Polaków za granicą</w:t>
      </w:r>
    </w:p>
    <w:p w14:paraId="0BAF19B3" w14:textId="77777777" w:rsidR="006E24D4" w:rsidRPr="006E24D4" w:rsidRDefault="006E24D4" w:rsidP="006E24D4">
      <w:pPr>
        <w:pStyle w:val="Normalwebb"/>
        <w:numPr>
          <w:ilvl w:val="0"/>
          <w:numId w:val="1"/>
        </w:numPr>
        <w:shd w:val="clear" w:color="auto" w:fill="FFFFFF"/>
        <w:spacing w:before="0" w:beforeAutospacing="0" w:after="0" w:afterAutospacing="0"/>
        <w:ind w:left="940"/>
        <w:textAlignment w:val="baseline"/>
        <w:rPr>
          <w:rFonts w:ascii="Arial" w:hAnsi="Arial" w:cs="Arial"/>
          <w:color w:val="222222"/>
          <w:sz w:val="22"/>
          <w:szCs w:val="22"/>
          <w:lang w:val="pl-PL"/>
        </w:rPr>
      </w:pPr>
      <w:r w:rsidRPr="006E24D4">
        <w:rPr>
          <w:rFonts w:ascii="Arial" w:hAnsi="Arial" w:cs="Arial"/>
          <w:color w:val="222222"/>
          <w:sz w:val="22"/>
          <w:szCs w:val="22"/>
          <w:lang w:val="pl-PL"/>
        </w:rPr>
        <w:t>Tworzeniu platformy komunikacji między diasporą a krajem ojczystym</w:t>
      </w:r>
    </w:p>
    <w:p w14:paraId="5779AAB6" w14:textId="77777777" w:rsidR="006E24D4" w:rsidRPr="006E24D4" w:rsidRDefault="006E24D4" w:rsidP="006E24D4">
      <w:pPr>
        <w:pStyle w:val="Normalwebb"/>
        <w:numPr>
          <w:ilvl w:val="0"/>
          <w:numId w:val="1"/>
        </w:numPr>
        <w:shd w:val="clear" w:color="auto" w:fill="FFFFFF"/>
        <w:spacing w:before="0" w:beforeAutospacing="0" w:after="0" w:afterAutospacing="0"/>
        <w:ind w:left="940"/>
        <w:textAlignment w:val="baseline"/>
        <w:rPr>
          <w:rFonts w:ascii="Arial" w:hAnsi="Arial" w:cs="Arial"/>
          <w:color w:val="222222"/>
          <w:sz w:val="22"/>
          <w:szCs w:val="22"/>
          <w:lang w:val="pl-PL"/>
        </w:rPr>
      </w:pPr>
      <w:r w:rsidRPr="006E24D4">
        <w:rPr>
          <w:rFonts w:ascii="Arial" w:hAnsi="Arial" w:cs="Arial"/>
          <w:color w:val="222222"/>
          <w:sz w:val="22"/>
          <w:szCs w:val="22"/>
          <w:lang w:val="pl-PL"/>
        </w:rPr>
        <w:t>Budowaniu pozytywnego wizerunku Polski na arenie międzynarodowej</w:t>
      </w:r>
    </w:p>
    <w:p w14:paraId="7196FB47" w14:textId="77777777" w:rsidR="006E24D4" w:rsidRPr="006E24D4" w:rsidRDefault="006E24D4" w:rsidP="006E24D4">
      <w:pPr>
        <w:pStyle w:val="Normalwebb"/>
        <w:numPr>
          <w:ilvl w:val="0"/>
          <w:numId w:val="1"/>
        </w:numPr>
        <w:shd w:val="clear" w:color="auto" w:fill="FFFFFF"/>
        <w:spacing w:before="0" w:beforeAutospacing="0" w:after="200" w:afterAutospacing="0"/>
        <w:ind w:left="940"/>
        <w:textAlignment w:val="baseline"/>
        <w:rPr>
          <w:rFonts w:ascii="Arial" w:hAnsi="Arial" w:cs="Arial"/>
          <w:color w:val="222222"/>
          <w:sz w:val="22"/>
          <w:szCs w:val="22"/>
          <w:lang w:val="pl-PL"/>
        </w:rPr>
      </w:pPr>
      <w:r w:rsidRPr="006E24D4">
        <w:rPr>
          <w:rFonts w:ascii="Arial" w:hAnsi="Arial" w:cs="Arial"/>
          <w:color w:val="222222"/>
          <w:sz w:val="22"/>
          <w:szCs w:val="22"/>
          <w:lang w:val="pl-PL"/>
        </w:rPr>
        <w:t>Przeciwdziałaniu dezinformacji w swoich krajach zamieszkania w swoich publikacjach i w mediach społecznościowych</w:t>
      </w:r>
    </w:p>
    <w:p w14:paraId="08442265" w14:textId="77777777" w:rsidR="006E24D4" w:rsidRPr="006E24D4" w:rsidRDefault="006E24D4" w:rsidP="006E24D4">
      <w:pPr>
        <w:pStyle w:val="Normalwebb"/>
        <w:pBdr>
          <w:bottom w:val="single" w:sz="6" w:space="1" w:color="auto"/>
        </w:pBdr>
        <w:shd w:val="clear" w:color="auto" w:fill="FFFFFF"/>
        <w:spacing w:before="0" w:beforeAutospacing="0" w:after="200" w:afterAutospacing="0"/>
        <w:textAlignment w:val="baseline"/>
        <w:rPr>
          <w:rFonts w:ascii="Arial" w:hAnsi="Arial" w:cs="Arial"/>
          <w:color w:val="222222"/>
          <w:sz w:val="22"/>
          <w:szCs w:val="22"/>
          <w:lang w:val="pl-PL"/>
        </w:rPr>
      </w:pPr>
    </w:p>
    <w:p w14:paraId="06DFD1ED" w14:textId="62F856D5" w:rsidR="006E24D4" w:rsidRPr="006E24D4" w:rsidRDefault="006E24D4" w:rsidP="006E24D4">
      <w:pPr>
        <w:shd w:val="clear" w:color="auto" w:fill="FFFFFF"/>
        <w:spacing w:before="280"/>
        <w:outlineLvl w:val="2"/>
        <w:rPr>
          <w:rFonts w:ascii="Arial" w:eastAsia="Times New Roman" w:hAnsi="Arial" w:cs="Arial"/>
          <w:i/>
          <w:iCs/>
          <w:color w:val="222222"/>
          <w:sz w:val="22"/>
          <w:szCs w:val="22"/>
          <w:lang w:val="pl-PL" w:eastAsia="sv-SE"/>
        </w:rPr>
      </w:pPr>
      <w:r>
        <w:rPr>
          <w:rFonts w:ascii="Arial" w:eastAsia="Times New Roman" w:hAnsi="Arial" w:cs="Arial"/>
          <w:i/>
          <w:iCs/>
          <w:color w:val="222222"/>
          <w:sz w:val="22"/>
          <w:szCs w:val="22"/>
          <w:lang w:val="pl-PL" w:eastAsia="sv-SE"/>
        </w:rPr>
        <w:t>(</w:t>
      </w:r>
      <w:r>
        <w:rPr>
          <w:rFonts w:ascii="Arial" w:eastAsia="Times New Roman" w:hAnsi="Arial" w:cs="Arial"/>
          <w:i/>
          <w:iCs/>
          <w:color w:val="222222"/>
          <w:sz w:val="22"/>
          <w:szCs w:val="22"/>
          <w:lang w:val="pl-PL" w:eastAsia="sv-SE"/>
        </w:rPr>
        <w:t>Pełny tekst strategii z naniesionymi wpisami zaznaczonymi na czerwono</w:t>
      </w:r>
      <w:r>
        <w:rPr>
          <w:rFonts w:ascii="Arial" w:eastAsia="Times New Roman" w:hAnsi="Arial" w:cs="Arial"/>
          <w:i/>
          <w:iCs/>
          <w:color w:val="222222"/>
          <w:sz w:val="22"/>
          <w:szCs w:val="22"/>
          <w:lang w:val="pl-PL" w:eastAsia="sv-SE"/>
        </w:rPr>
        <w:t>)</w:t>
      </w:r>
    </w:p>
    <w:p w14:paraId="40464312" w14:textId="77777777" w:rsidR="006E24D4" w:rsidRDefault="006E24D4" w:rsidP="006E24D4">
      <w:pPr>
        <w:pStyle w:val="Normalwebb"/>
        <w:pBdr>
          <w:bottom w:val="single" w:sz="6" w:space="1" w:color="auto"/>
        </w:pBdr>
        <w:shd w:val="clear" w:color="auto" w:fill="FFFFFF"/>
        <w:spacing w:before="0" w:beforeAutospacing="0" w:after="200" w:afterAutospacing="0"/>
        <w:textAlignment w:val="baseline"/>
        <w:rPr>
          <w:rFonts w:ascii="Arial" w:hAnsi="Arial" w:cs="Arial"/>
          <w:color w:val="222222"/>
          <w:sz w:val="22"/>
          <w:szCs w:val="22"/>
          <w:lang w:val="pl-PL"/>
        </w:rPr>
      </w:pPr>
    </w:p>
    <w:p w14:paraId="42576ACC" w14:textId="77777777" w:rsidR="006E24D4" w:rsidRPr="006E24D4" w:rsidRDefault="006E24D4" w:rsidP="006E24D4">
      <w:pPr>
        <w:pStyle w:val="Normalwebb"/>
        <w:shd w:val="clear" w:color="auto" w:fill="FFFFFF"/>
        <w:spacing w:before="0" w:beforeAutospacing="0" w:after="200" w:afterAutospacing="0"/>
        <w:textAlignment w:val="baseline"/>
        <w:rPr>
          <w:rFonts w:ascii="Arial" w:hAnsi="Arial" w:cs="Arial"/>
          <w:color w:val="222222"/>
          <w:sz w:val="22"/>
          <w:szCs w:val="22"/>
          <w:lang w:val="pl-PL"/>
        </w:rPr>
      </w:pPr>
    </w:p>
    <w:p w14:paraId="00505E8D"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Lato" w:eastAsia="Times New Roman" w:hAnsi="Lato" w:cs="Times New Roman"/>
          <w:color w:val="000000"/>
          <w:sz w:val="18"/>
          <w:szCs w:val="18"/>
          <w:lang w:val="pl-PL" w:eastAsia="sv-SE"/>
        </w:rPr>
        <w:t>Załącznik nr 1</w:t>
      </w:r>
    </w:p>
    <w:p w14:paraId="2648044B"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Lato" w:eastAsia="Times New Roman" w:hAnsi="Lato" w:cs="Times New Roman"/>
          <w:color w:val="000000"/>
          <w:sz w:val="18"/>
          <w:szCs w:val="18"/>
          <w:lang w:val="pl-PL" w:eastAsia="sv-SE"/>
        </w:rPr>
        <w:t>do Uchwały nr 1/2024 </w:t>
      </w:r>
    </w:p>
    <w:p w14:paraId="33D96626"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Lato" w:eastAsia="Times New Roman" w:hAnsi="Lato" w:cs="Times New Roman"/>
          <w:color w:val="000000"/>
          <w:sz w:val="18"/>
          <w:szCs w:val="18"/>
          <w:lang w:val="pl-PL" w:eastAsia="sv-SE"/>
        </w:rPr>
        <w:t>Międzyresortowego Zespołu</w:t>
      </w:r>
    </w:p>
    <w:p w14:paraId="36308ACF"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Lato" w:eastAsia="Times New Roman" w:hAnsi="Lato" w:cs="Times New Roman"/>
          <w:color w:val="000000"/>
          <w:sz w:val="18"/>
          <w:szCs w:val="18"/>
          <w:lang w:val="pl-PL" w:eastAsia="sv-SE"/>
        </w:rPr>
        <w:t>do spraw Polonii i Polaków za Granicą </w:t>
      </w:r>
    </w:p>
    <w:p w14:paraId="7F49FA37" w14:textId="77777777" w:rsidR="006E24D4" w:rsidRPr="006E24D4" w:rsidRDefault="006E24D4" w:rsidP="006E24D4">
      <w:pPr>
        <w:rPr>
          <w:rFonts w:ascii="Times New Roman" w:eastAsia="Times New Roman" w:hAnsi="Times New Roman" w:cs="Times New Roman"/>
          <w:color w:val="000000"/>
          <w:lang w:val="pl-PL" w:eastAsia="sv-SE"/>
        </w:rPr>
      </w:pPr>
    </w:p>
    <w:p w14:paraId="54111A13" w14:textId="77777777" w:rsidR="006E24D4" w:rsidRPr="006E24D4" w:rsidRDefault="006E24D4" w:rsidP="006E24D4">
      <w:pPr>
        <w:spacing w:after="160"/>
        <w:jc w:val="center"/>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sz w:val="32"/>
          <w:szCs w:val="32"/>
          <w:lang w:val="pl-PL" w:eastAsia="sv-SE"/>
        </w:rPr>
        <w:t>Rządowa strategia</w:t>
      </w:r>
    </w:p>
    <w:p w14:paraId="2F221BC0" w14:textId="77777777" w:rsidR="006E24D4" w:rsidRPr="006E24D4" w:rsidRDefault="006E24D4" w:rsidP="006E24D4">
      <w:pPr>
        <w:spacing w:after="160"/>
        <w:jc w:val="center"/>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sz w:val="32"/>
          <w:szCs w:val="32"/>
          <w:lang w:val="pl-PL" w:eastAsia="sv-SE"/>
        </w:rPr>
        <w:t>współpracy z Polonią i Polakami za granicą</w:t>
      </w:r>
    </w:p>
    <w:p w14:paraId="4A8F6E37" w14:textId="77777777" w:rsidR="006E24D4" w:rsidRPr="006E24D4" w:rsidRDefault="006E24D4" w:rsidP="006E24D4">
      <w:pPr>
        <w:spacing w:after="160"/>
        <w:jc w:val="center"/>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sz w:val="32"/>
          <w:szCs w:val="32"/>
          <w:lang w:val="pl-PL" w:eastAsia="sv-SE"/>
        </w:rPr>
        <w:t>na lata 2025-2030</w:t>
      </w:r>
    </w:p>
    <w:p w14:paraId="7B84092C"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sz w:val="28"/>
          <w:szCs w:val="28"/>
          <w:lang w:val="pl-PL" w:eastAsia="sv-SE"/>
        </w:rPr>
        <w:t>Wprowadzenie</w:t>
      </w:r>
    </w:p>
    <w:p w14:paraId="1360CAFB"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Współpraca z Polonią i Polakami za granicą jest integralnym elementem polityki zagranicznej państwa i jako jej część musi uwzględniać zmieniające się wyzwania geopolityczne i odpowiadać na potrzeby kraju. </w:t>
      </w:r>
    </w:p>
    <w:p w14:paraId="0357CB8A"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lastRenderedPageBreak/>
        <w:t xml:space="preserve">W obecnych uwarunkowaniach, 35 lat po transformacji </w:t>
      </w:r>
      <w:proofErr w:type="spellStart"/>
      <w:r w:rsidRPr="006E24D4">
        <w:rPr>
          <w:rFonts w:ascii="Lato" w:eastAsia="Times New Roman" w:hAnsi="Lato" w:cs="Times New Roman"/>
          <w:color w:val="000000"/>
          <w:lang w:val="pl-PL" w:eastAsia="sv-SE"/>
        </w:rPr>
        <w:t>polityczno</w:t>
      </w:r>
      <w:proofErr w:type="spellEnd"/>
      <w:r w:rsidRPr="006E24D4">
        <w:rPr>
          <w:rFonts w:ascii="Lato" w:eastAsia="Times New Roman" w:hAnsi="Lato" w:cs="Times New Roman"/>
          <w:color w:val="000000"/>
          <w:lang w:val="pl-PL" w:eastAsia="sv-SE"/>
        </w:rPr>
        <w:t xml:space="preserve"> – ustrojowej oraz 20 lat po przystąpieniu Polski do Unii Europejskiej polityka polonijna powinna w większym stopniu opierać się na partnerstwie państwa ze środowiskami polonijnymi. Głównym 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Polska polityka polonijna będzie wspierać Polaków mieszkających za granica oraz osoby polskiego pochodzenia w podejmowaniu aktywności społecznych i obywatelskich, których celem jest dwukierunkowa integracja w lokalnych </w:t>
      </w:r>
      <w:proofErr w:type="gramStart"/>
      <w:r w:rsidRPr="006E24D4">
        <w:rPr>
          <w:rFonts w:ascii="Lato" w:eastAsia="Times New Roman" w:hAnsi="Lato" w:cs="Times New Roman"/>
          <w:color w:val="000000"/>
          <w:lang w:val="pl-PL" w:eastAsia="sv-SE"/>
        </w:rPr>
        <w:t>społecznościach</w:t>
      </w:r>
      <w:proofErr w:type="gramEnd"/>
      <w:r w:rsidRPr="006E24D4">
        <w:rPr>
          <w:rFonts w:ascii="Lato" w:eastAsia="Times New Roman" w:hAnsi="Lato" w:cs="Times New Roman"/>
          <w:color w:val="000000"/>
          <w:lang w:val="pl-PL" w:eastAsia="sv-SE"/>
        </w:rPr>
        <w:t xml:space="preserve"> czyli z jednej strony włączenie do społeczeństwa kraju aktualnego zamieszkania oraz z drugiej utrzymanie powiązań z Polską. </w:t>
      </w:r>
    </w:p>
    <w:p w14:paraId="5A282421"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Roboto" w:eastAsia="Times New Roman" w:hAnsi="Roboto" w:cs="Times New Roman"/>
          <w:color w:val="FF0000"/>
          <w:sz w:val="25"/>
          <w:szCs w:val="25"/>
          <w:lang w:val="pl-PL" w:eastAsia="sv-SE"/>
        </w:rPr>
        <w:t>W realizacji tego celu istotną rolę odgrywają media polonijne, które pełnią funkcję łącznika pomiędzy polskimi środowiskami, Polską a krajem zamieszkania.</w:t>
      </w:r>
    </w:p>
    <w:p w14:paraId="50FEEC44"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te zapotrzebowania.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a także sektora nauki, w którym szczególnie istotny jest dostęp do najnowszej wiedzy i metod badawczych.</w:t>
      </w:r>
    </w:p>
    <w:p w14:paraId="5EBAC438"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podejmowanie działań wspierających i zachęcających do podejmowania studiów w Polsce zarówno w języku polskim, jak i angielskim.</w:t>
      </w:r>
      <w:r w:rsidRPr="006E24D4">
        <w:rPr>
          <w:rFonts w:ascii="Lato" w:eastAsia="Times New Roman" w:hAnsi="Lato" w:cs="Times New Roman"/>
          <w:color w:val="000000"/>
          <w:sz w:val="22"/>
          <w:szCs w:val="22"/>
          <w:lang w:val="pl-PL" w:eastAsia="sv-SE"/>
        </w:rPr>
        <w:t xml:space="preserve"> </w:t>
      </w:r>
      <w:r w:rsidRPr="006E24D4">
        <w:rPr>
          <w:rFonts w:ascii="Lato" w:eastAsia="Times New Roman" w:hAnsi="Lato" w:cs="Times New Roman"/>
          <w:color w:val="000000"/>
          <w:lang w:val="pl-PL" w:eastAsia="sv-SE"/>
        </w:rPr>
        <w:t>Należy zwiększyć zasięg istniejących programów stypendialnych oraz działań informacyjnych adresowanych do grupy młodej Polonii i Polaków za granicą zainteresowanych podejmowaniem kształcenia w polskich uczelniach. Koniczne jest także zbudowanie większego zrozumienia dla potrzeb tej grupy, zarówno ze strony instytucji państwowych, jak i polskich uczelni wyższych. Dotyczy to w szczególności pokolenia, które urodziło się lub dorastało za granicą w wyniku poakcesyjnych wyjazdów Polaków do państw członkowskich UE.</w:t>
      </w:r>
    </w:p>
    <w:p w14:paraId="3E06782D"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lastRenderedPageBreak/>
        <w:t xml:space="preserve">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w:t>
      </w:r>
      <w:proofErr w:type="gramStart"/>
      <w:r w:rsidRPr="006E24D4">
        <w:rPr>
          <w:rFonts w:ascii="Lato" w:eastAsia="Times New Roman" w:hAnsi="Lato" w:cs="Times New Roman"/>
          <w:color w:val="000000"/>
          <w:lang w:val="pl-PL" w:eastAsia="sv-SE"/>
        </w:rPr>
        <w:t>nawet  ponad</w:t>
      </w:r>
      <w:proofErr w:type="gramEnd"/>
      <w:r w:rsidRPr="006E24D4">
        <w:rPr>
          <w:rFonts w:ascii="Lato" w:eastAsia="Times New Roman" w:hAnsi="Lato" w:cs="Times New Roman"/>
          <w:color w:val="000000"/>
          <w:lang w:val="pl-PL" w:eastAsia="sv-SE"/>
        </w:rPr>
        <w:t>  20 mln osób na świecie.</w:t>
      </w:r>
    </w:p>
    <w:p w14:paraId="193D3C67"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w:t>
      </w:r>
      <w:proofErr w:type="gramStart"/>
      <w:r w:rsidRPr="006E24D4">
        <w:rPr>
          <w:rFonts w:ascii="Lato" w:eastAsia="Times New Roman" w:hAnsi="Lato" w:cs="Times New Roman"/>
          <w:color w:val="000000"/>
          <w:lang w:val="pl-PL" w:eastAsia="sv-SE"/>
        </w:rPr>
        <w:t>jest  poprawa</w:t>
      </w:r>
      <w:proofErr w:type="gramEnd"/>
      <w:r w:rsidRPr="006E24D4">
        <w:rPr>
          <w:rFonts w:ascii="Lato" w:eastAsia="Times New Roman" w:hAnsi="Lato" w:cs="Times New Roman"/>
          <w:color w:val="000000"/>
          <w:lang w:val="pl-PL" w:eastAsia="sv-SE"/>
        </w:rPr>
        <w:t xml:space="preserve"> efektywności wydatkowania tych środków oraz przekazywanie ich na działania korespondujące z priorytetami zarysowanymi w niniejszym dokumencie. </w:t>
      </w:r>
    </w:p>
    <w:p w14:paraId="5D42FE07"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Priorytety te są również blisko skorelowane z założeniami przyjętej przez Radę Ministrów w dniu 15 października 2024 roku Strategii migracyjnej Polski na lata 2025 – 2030 „Odzyskać kontrolę. Zapewnić bezpieczeństwo” oraz z zawartymi w niej propozycjami działań. Ich konsekwencją będą planowane w 2025 r. zmiany legislacyjne, w tym dotyczące ustawy o obywatelstwie, repatriacji czy Karcie Polaka. </w:t>
      </w:r>
    </w:p>
    <w:p w14:paraId="6E183EBD"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sz w:val="28"/>
          <w:szCs w:val="28"/>
          <w:lang w:val="pl-PL" w:eastAsia="sv-SE"/>
        </w:rPr>
        <w:t>Priorytety polityki polonijnej rządu</w:t>
      </w:r>
    </w:p>
    <w:p w14:paraId="332BBD97" w14:textId="77777777" w:rsidR="006E24D4" w:rsidRPr="006E24D4" w:rsidRDefault="006E24D4" w:rsidP="006E24D4">
      <w:pPr>
        <w:numPr>
          <w:ilvl w:val="0"/>
          <w:numId w:val="2"/>
        </w:numPr>
        <w:spacing w:after="160"/>
        <w:ind w:left="717"/>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Nauczanie języka polskiego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6F607FFF"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5171C"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sz w:val="22"/>
                <w:szCs w:val="22"/>
                <w:u w:val="single"/>
                <w:lang w:val="pl-PL" w:eastAsia="sv-SE"/>
              </w:rPr>
              <w:t>Kontekst: </w:t>
            </w:r>
          </w:p>
          <w:p w14:paraId="34244B10"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sz w:val="22"/>
                <w:szCs w:val="22"/>
                <w:lang w:val="pl-PL" w:eastAsia="sv-SE"/>
              </w:rPr>
              <w:t>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 środowiskach polonijnych). Wyzwaniem pozostaje takie ukształtowanie systemu szkolnictwa polonijnego, w tym zwłaszcza jego centralnego elementu – nauczania języka polskiego, aby przestał być systemem archaicznym i stał się czynnikiem zachęcającym młodzież do kontaktu 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sidRPr="006E24D4">
              <w:rPr>
                <w:rFonts w:ascii="Lato" w:eastAsia="Times New Roman" w:hAnsi="Lato" w:cs="Times New Roman"/>
                <w:i/>
                <w:iCs/>
                <w:color w:val="000000"/>
                <w:sz w:val="22"/>
                <w:szCs w:val="22"/>
                <w:lang w:val="pl-PL" w:eastAsia="sv-SE"/>
              </w:rPr>
              <w:t>powrotowej</w:t>
            </w:r>
            <w:proofErr w:type="spellEnd"/>
            <w:r w:rsidRPr="006E24D4">
              <w:rPr>
                <w:rFonts w:ascii="Lato" w:eastAsia="Times New Roman" w:hAnsi="Lato" w:cs="Times New Roman"/>
                <w:i/>
                <w:iCs/>
                <w:color w:val="000000"/>
                <w:sz w:val="22"/>
                <w:szCs w:val="22"/>
                <w:lang w:val="pl-PL" w:eastAsia="sv-SE"/>
              </w:rPr>
              <w:t>. </w:t>
            </w:r>
          </w:p>
        </w:tc>
      </w:tr>
    </w:tbl>
    <w:p w14:paraId="641B5C03"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Times New Roman" w:eastAsia="Times New Roman" w:hAnsi="Times New Roman" w:cs="Times New Roman"/>
          <w:color w:val="000000"/>
          <w:lang w:val="pl-PL" w:eastAsia="sv-SE"/>
        </w:rPr>
        <w:br/>
      </w:r>
    </w:p>
    <w:p w14:paraId="08A5BB08" w14:textId="77777777" w:rsidR="006E24D4" w:rsidRPr="006E24D4" w:rsidRDefault="006E24D4" w:rsidP="006E24D4">
      <w:pPr>
        <w:numPr>
          <w:ilvl w:val="0"/>
          <w:numId w:val="3"/>
        </w:numPr>
        <w:spacing w:after="160"/>
        <w:ind w:left="57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 xml:space="preserve">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w:t>
      </w:r>
      <w:r w:rsidRPr="006E24D4">
        <w:rPr>
          <w:rFonts w:ascii="Lato" w:eastAsia="Times New Roman" w:hAnsi="Lato" w:cs="Times New Roman"/>
          <w:color w:val="000000"/>
          <w:lang w:val="pl-PL" w:eastAsia="sv-SE"/>
        </w:rPr>
        <w:lastRenderedPageBreak/>
        <w:t>nowych technologii (kursy online, stworzenie cyfrowych narzędzi do samodzielnej nauki)</w:t>
      </w:r>
    </w:p>
    <w:p w14:paraId="5904D083" w14:textId="77777777" w:rsidR="006E24D4" w:rsidRPr="006E24D4" w:rsidRDefault="006E24D4" w:rsidP="006E24D4">
      <w:pPr>
        <w:numPr>
          <w:ilvl w:val="0"/>
          <w:numId w:val="3"/>
        </w:numPr>
        <w:spacing w:after="160"/>
        <w:ind w:left="57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stworzenie oferty kształcenia lektorów języka polskiego w celu zwiększenia ich liczby i profesjonalizacji nauczania języka polskiego jako obcego </w:t>
      </w:r>
    </w:p>
    <w:p w14:paraId="28C00AAE" w14:textId="77777777" w:rsidR="006E24D4" w:rsidRPr="006E24D4" w:rsidRDefault="006E24D4" w:rsidP="006E24D4">
      <w:pPr>
        <w:numPr>
          <w:ilvl w:val="0"/>
          <w:numId w:val="3"/>
        </w:numPr>
        <w:spacing w:after="160"/>
        <w:ind w:left="56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wzbogacenie oferty merytorycznej i dydaktycznej doskonalenia zawodowego nauczycieli polonijnych, stworzenie systemu wsparcia rozwoju zawodowego dla lektorów języka polskiego pracujących za granicą </w:t>
      </w:r>
    </w:p>
    <w:p w14:paraId="6A668DEC" w14:textId="77777777" w:rsidR="006E24D4" w:rsidRPr="006E24D4" w:rsidRDefault="006E24D4" w:rsidP="006E24D4">
      <w:pPr>
        <w:numPr>
          <w:ilvl w:val="0"/>
          <w:numId w:val="3"/>
        </w:numPr>
        <w:spacing w:after="160"/>
        <w:ind w:left="57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 korelacji z realizacją Strategii migracyjnej Polski na lata 2025 – 2030, analiza systemu polskich szkół za granicą pod kątem funkcjonowania administracyjnego i programów nauczania oraz zaproponowanie nowego systemu, w tym z wykorzystaniem narzędzi cyfrowych i nowych technologii</w:t>
      </w:r>
    </w:p>
    <w:p w14:paraId="7B5F9955" w14:textId="77777777" w:rsidR="006E24D4" w:rsidRPr="006E24D4" w:rsidRDefault="006E24D4" w:rsidP="006E24D4">
      <w:pPr>
        <w:numPr>
          <w:ilvl w:val="0"/>
          <w:numId w:val="3"/>
        </w:numPr>
        <w:spacing w:after="160"/>
        <w:ind w:left="57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upowszechnianie i rozwijanie kształcenia dzieci obywateli polskich czasowo przebywających za granicą w szkołach polskich przy przedstawicielstwach dyplomatycznych, urzędach konsularnych i przedstawicielstwach wojskowych RP</w:t>
      </w:r>
    </w:p>
    <w:p w14:paraId="1D8A42B9" w14:textId="77777777" w:rsidR="006E24D4" w:rsidRPr="006E24D4" w:rsidRDefault="006E24D4" w:rsidP="006E24D4">
      <w:pPr>
        <w:numPr>
          <w:ilvl w:val="0"/>
          <w:numId w:val="3"/>
        </w:numPr>
        <w:spacing w:after="160"/>
        <w:ind w:left="57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upowszechnianie kształcenia na odległość</w:t>
      </w:r>
    </w:p>
    <w:p w14:paraId="5C2E7BD0" w14:textId="77777777" w:rsidR="006E24D4" w:rsidRPr="006E24D4" w:rsidRDefault="006E24D4" w:rsidP="006E24D4">
      <w:pPr>
        <w:numPr>
          <w:ilvl w:val="0"/>
          <w:numId w:val="3"/>
        </w:numPr>
        <w:spacing w:after="160"/>
        <w:ind w:left="57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7E50B4C6" w14:textId="77777777" w:rsidR="006E24D4" w:rsidRPr="006E24D4" w:rsidRDefault="006E24D4" w:rsidP="006E24D4">
      <w:pPr>
        <w:numPr>
          <w:ilvl w:val="0"/>
          <w:numId w:val="3"/>
        </w:numPr>
        <w:spacing w:after="160"/>
        <w:ind w:left="57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stworzenie propozycji nowego systemu certyfikacji znajomości języka polskiego dostosowanego do dzieci i młodzieży, motywującego oraz umożliwiającego ocenę efektywności nauki</w:t>
      </w:r>
    </w:p>
    <w:p w14:paraId="79340471" w14:textId="77777777" w:rsidR="006E24D4" w:rsidRPr="006E24D4" w:rsidRDefault="006E24D4" w:rsidP="006E24D4">
      <w:pPr>
        <w:numPr>
          <w:ilvl w:val="0"/>
          <w:numId w:val="3"/>
        </w:numPr>
        <w:spacing w:after="160"/>
        <w:ind w:left="56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 xml:space="preserve">podejmowanie działań na rzecz wsparcia i rozwoju tzw. </w:t>
      </w:r>
      <w:proofErr w:type="spellStart"/>
      <w:r w:rsidRPr="006E24D4">
        <w:rPr>
          <w:rFonts w:ascii="Lato" w:eastAsia="Times New Roman" w:hAnsi="Lato" w:cs="Times New Roman"/>
          <w:i/>
          <w:iCs/>
          <w:color w:val="000000"/>
          <w:lang w:val="pl-PL" w:eastAsia="sv-SE"/>
        </w:rPr>
        <w:t>Polish</w:t>
      </w:r>
      <w:proofErr w:type="spellEnd"/>
      <w:r w:rsidRPr="006E24D4">
        <w:rPr>
          <w:rFonts w:ascii="Lato" w:eastAsia="Times New Roman" w:hAnsi="Lato" w:cs="Times New Roman"/>
          <w:i/>
          <w:iCs/>
          <w:color w:val="000000"/>
          <w:lang w:val="pl-PL" w:eastAsia="sv-SE"/>
        </w:rPr>
        <w:t xml:space="preserve"> </w:t>
      </w:r>
      <w:proofErr w:type="spellStart"/>
      <w:r w:rsidRPr="006E24D4">
        <w:rPr>
          <w:rFonts w:ascii="Lato" w:eastAsia="Times New Roman" w:hAnsi="Lato" w:cs="Times New Roman"/>
          <w:i/>
          <w:iCs/>
          <w:color w:val="000000"/>
          <w:lang w:val="pl-PL" w:eastAsia="sv-SE"/>
        </w:rPr>
        <w:t>Studies</w:t>
      </w:r>
      <w:proofErr w:type="spellEnd"/>
      <w:r w:rsidRPr="006E24D4">
        <w:rPr>
          <w:rFonts w:ascii="Lato" w:eastAsia="Times New Roman" w:hAnsi="Lato" w:cs="Times New Roman"/>
          <w:color w:val="000000"/>
          <w:lang w:val="pl-PL" w:eastAsia="sv-SE"/>
        </w:rPr>
        <w:t xml:space="preserve"> na zagranicznych uczelniach (m.in. programy NAWA: Lektorzy, Polonista, Letnie kursy, Promocja języka polskiego) </w:t>
      </w:r>
    </w:p>
    <w:p w14:paraId="5B9B4E46" w14:textId="77777777" w:rsidR="006E24D4" w:rsidRPr="006E24D4" w:rsidRDefault="006E24D4" w:rsidP="006E24D4">
      <w:pPr>
        <w:numPr>
          <w:ilvl w:val="0"/>
          <w:numId w:val="3"/>
        </w:numPr>
        <w:spacing w:after="160"/>
        <w:ind w:left="56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promowanie studiów w języku polskim – w Polsce i za granicą (m.in. program Anders NAWA, Kursy Przygotowawcze NAWA)</w:t>
      </w:r>
    </w:p>
    <w:p w14:paraId="7016AA92" w14:textId="77777777" w:rsidR="006E24D4" w:rsidRPr="006E24D4" w:rsidRDefault="006E24D4" w:rsidP="006E24D4">
      <w:pPr>
        <w:numPr>
          <w:ilvl w:val="0"/>
          <w:numId w:val="3"/>
        </w:numPr>
        <w:ind w:left="283"/>
        <w:jc w:val="both"/>
        <w:textAlignment w:val="baseline"/>
        <w:rPr>
          <w:rFonts w:ascii="Lato" w:eastAsia="Times New Roman" w:hAnsi="Lato" w:cs="Times New Roman"/>
          <w:color w:val="000000"/>
          <w:sz w:val="26"/>
          <w:szCs w:val="26"/>
          <w:lang w:val="pl-PL" w:eastAsia="sv-SE"/>
        </w:rPr>
      </w:pPr>
      <w:r w:rsidRPr="006E24D4">
        <w:rPr>
          <w:rFonts w:ascii="Lato" w:eastAsia="Times New Roman" w:hAnsi="Lato" w:cs="Times New Roman"/>
          <w:color w:val="FF0000"/>
          <w:lang w:val="pl-PL" w:eastAsia="sv-SE"/>
        </w:rPr>
        <w:t xml:space="preserve">włączenie mediów polonijnych, jako narzędzia </w:t>
      </w:r>
      <w:proofErr w:type="gramStart"/>
      <w:r w:rsidRPr="006E24D4">
        <w:rPr>
          <w:rFonts w:ascii="Lato" w:eastAsia="Times New Roman" w:hAnsi="Lato" w:cs="Times New Roman"/>
          <w:color w:val="FF0000"/>
          <w:lang w:val="pl-PL" w:eastAsia="sv-SE"/>
        </w:rPr>
        <w:t xml:space="preserve">edukacyjnego </w:t>
      </w:r>
      <w:r w:rsidRPr="006E24D4">
        <w:rPr>
          <w:rFonts w:ascii="Lato" w:eastAsia="Times New Roman" w:hAnsi="Lato" w:cs="Times New Roman"/>
          <w:color w:val="FF0000"/>
          <w:sz w:val="21"/>
          <w:szCs w:val="21"/>
          <w:lang w:val="pl-PL" w:eastAsia="sv-SE"/>
        </w:rPr>
        <w:t> </w:t>
      </w:r>
      <w:r w:rsidRPr="006E24D4">
        <w:rPr>
          <w:rFonts w:ascii="Lato" w:eastAsia="Times New Roman" w:hAnsi="Lato" w:cs="Times New Roman"/>
          <w:color w:val="FF0000"/>
          <w:lang w:val="pl-PL" w:eastAsia="sv-SE"/>
        </w:rPr>
        <w:t>które</w:t>
      </w:r>
      <w:proofErr w:type="gramEnd"/>
      <w:r w:rsidRPr="006E24D4">
        <w:rPr>
          <w:rFonts w:ascii="Lato" w:eastAsia="Times New Roman" w:hAnsi="Lato" w:cs="Times New Roman"/>
          <w:color w:val="FF0000"/>
          <w:lang w:val="pl-PL" w:eastAsia="sv-SE"/>
        </w:rPr>
        <w:t xml:space="preserve"> pełni rolę mostu między nauczaniem języka polskiego a codziennym życiem Polonii. Regularny kontakt z treściami w języku polskim, dostosowanym do lokalnych realiów Polonii, pomaga rozwijać kompetencje językowe w sposób naturalny i atrakcyjny</w:t>
      </w:r>
      <w:r w:rsidRPr="006E24D4">
        <w:rPr>
          <w:rFonts w:ascii="Arial" w:eastAsia="Times New Roman" w:hAnsi="Arial" w:cs="Arial"/>
          <w:color w:val="FF0000"/>
          <w:lang w:val="pl-PL" w:eastAsia="sv-SE"/>
        </w:rPr>
        <w:t>.</w:t>
      </w:r>
    </w:p>
    <w:p w14:paraId="309A8665" w14:textId="77777777" w:rsidR="006E24D4" w:rsidRPr="006E24D4" w:rsidRDefault="006E24D4" w:rsidP="006E24D4">
      <w:pPr>
        <w:spacing w:after="240"/>
        <w:rPr>
          <w:rFonts w:ascii="Times New Roman" w:eastAsia="Times New Roman" w:hAnsi="Times New Roman" w:cs="Times New Roman"/>
          <w:color w:val="000000"/>
          <w:lang w:val="pl-PL" w:eastAsia="sv-SE"/>
        </w:rPr>
      </w:pPr>
      <w:r w:rsidRPr="006E24D4">
        <w:rPr>
          <w:rFonts w:ascii="Times New Roman" w:eastAsia="Times New Roman" w:hAnsi="Times New Roman" w:cs="Times New Roman"/>
          <w:color w:val="000000"/>
          <w:lang w:val="pl-PL" w:eastAsia="sv-SE"/>
        </w:rPr>
        <w:br/>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17103DC0"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2A4FD" w14:textId="77777777" w:rsidR="006E24D4" w:rsidRPr="006E24D4" w:rsidRDefault="006E24D4" w:rsidP="006E24D4">
            <w:pPr>
              <w:spacing w:before="120"/>
              <w:rPr>
                <w:rFonts w:ascii="Times New Roman" w:eastAsia="Times New Roman" w:hAnsi="Times New Roman" w:cs="Times New Roman"/>
                <w:lang w:val="pl-PL" w:eastAsia="sv-SE"/>
              </w:rPr>
            </w:pPr>
            <w:r w:rsidRPr="006E24D4">
              <w:rPr>
                <w:rFonts w:ascii="Lato" w:eastAsia="Times New Roman" w:hAnsi="Lato" w:cs="Times New Roman"/>
                <w:b/>
                <w:bCs/>
                <w:i/>
                <w:iCs/>
                <w:color w:val="000000"/>
                <w:u w:val="single"/>
                <w:lang w:val="pl-PL" w:eastAsia="sv-SE"/>
              </w:rPr>
              <w:t>Jednostki odpowiedzialne: </w:t>
            </w:r>
          </w:p>
          <w:p w14:paraId="53203EA6" w14:textId="77777777" w:rsidR="006E24D4" w:rsidRPr="006E24D4" w:rsidRDefault="006E24D4" w:rsidP="006E24D4">
            <w:pPr>
              <w:spacing w:after="120"/>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t>Ministerstwo Edukacji Narodowej we współpracy z Ministerstwem Spraw Zagranicznych, Ministerstwem Nauki i Szkolnictwa Wyższego</w:t>
            </w:r>
          </w:p>
        </w:tc>
      </w:tr>
    </w:tbl>
    <w:p w14:paraId="651DA140" w14:textId="77777777" w:rsidR="006E24D4" w:rsidRPr="006E24D4" w:rsidRDefault="006E24D4" w:rsidP="006E24D4">
      <w:pPr>
        <w:rPr>
          <w:rFonts w:ascii="Times New Roman" w:eastAsia="Times New Roman" w:hAnsi="Times New Roman" w:cs="Times New Roman"/>
          <w:color w:val="000000"/>
          <w:lang w:val="pl-PL" w:eastAsia="sv-SE"/>
        </w:rPr>
      </w:pPr>
    </w:p>
    <w:p w14:paraId="3CBFFE6D" w14:textId="77777777" w:rsidR="006E24D4" w:rsidRPr="006E24D4" w:rsidRDefault="006E24D4" w:rsidP="006E24D4">
      <w:pPr>
        <w:numPr>
          <w:ilvl w:val="0"/>
          <w:numId w:val="4"/>
        </w:numPr>
        <w:spacing w:after="160"/>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 xml:space="preserve">Polityka </w:t>
      </w:r>
      <w:proofErr w:type="spellStart"/>
      <w:r w:rsidRPr="006E24D4">
        <w:rPr>
          <w:rFonts w:ascii="Lato" w:eastAsia="Times New Roman" w:hAnsi="Lato" w:cs="Times New Roman"/>
          <w:b/>
          <w:bCs/>
          <w:color w:val="000000"/>
          <w:lang w:val="pl-PL" w:eastAsia="sv-SE"/>
        </w:rPr>
        <w:t>powrotowa</w:t>
      </w:r>
      <w:proofErr w:type="spellEnd"/>
      <w:r w:rsidRPr="006E24D4">
        <w:rPr>
          <w:rFonts w:ascii="Lato" w:eastAsia="Times New Roman" w:hAnsi="Lato" w:cs="Times New Roman"/>
          <w:b/>
          <w:bCs/>
          <w:color w:val="000000"/>
          <w:lang w:val="pl-PL" w:eastAsia="sv-SE"/>
        </w:rPr>
        <w:t>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17E02641"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05DD6"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sz w:val="22"/>
                <w:szCs w:val="22"/>
                <w:u w:val="single"/>
                <w:lang w:val="pl-PL" w:eastAsia="sv-SE"/>
              </w:rPr>
              <w:t>Kontekst: </w:t>
            </w:r>
          </w:p>
          <w:p w14:paraId="396CA419"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lastRenderedPageBreak/>
              <w:t>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z Polską, czego pierwszym etapem jest podjęcie w kraju studiów (tak w języku polskim, jak i angielskim). Ta cenna dla polskich uczelni grupa docelowa nie była dotychczas objęta wystarczającym wsparciem w szeroko zakrojonych działaniach na rzecz umiędzynarodowienia polskiej nauki. Z uwagi na ograniczenia administracyjne oraz trudności w skorelowaniu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 kalendarzach systemów edukacyjnych. Z kolei oferta powrotów dla osób aktywnych zawodowo musi zostać w większym stopniu sprofilowana i uwzględniać dedykowane programy, powstające w dialogu z poszczególnymi grupami zawodowymi czy środowiskami.</w:t>
            </w:r>
          </w:p>
        </w:tc>
      </w:tr>
    </w:tbl>
    <w:p w14:paraId="0D2856EB"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Times New Roman" w:eastAsia="Times New Roman" w:hAnsi="Times New Roman" w:cs="Times New Roman"/>
          <w:color w:val="000000"/>
          <w:lang w:val="pl-PL" w:eastAsia="sv-SE"/>
        </w:rPr>
        <w:lastRenderedPageBreak/>
        <w:br/>
      </w:r>
    </w:p>
    <w:p w14:paraId="5F9B3DE6" w14:textId="77777777" w:rsidR="006E24D4" w:rsidRPr="006E24D4" w:rsidRDefault="006E24D4" w:rsidP="006E24D4">
      <w:pPr>
        <w:numPr>
          <w:ilvl w:val="0"/>
          <w:numId w:val="5"/>
        </w:numPr>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kwestie ogólne </w:t>
      </w:r>
    </w:p>
    <w:p w14:paraId="61A29A29" w14:textId="77777777" w:rsidR="006E24D4" w:rsidRPr="006E24D4" w:rsidRDefault="006E24D4" w:rsidP="006E24D4">
      <w:pPr>
        <w:numPr>
          <w:ilvl w:val="0"/>
          <w:numId w:val="6"/>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rozpoznanie potrzeb poszczególnych grup docelowych oraz zaproponowanie systemu ułatwień i zachęt do powrotu </w:t>
      </w:r>
    </w:p>
    <w:p w14:paraId="36010F88" w14:textId="77777777" w:rsidR="006E24D4" w:rsidRPr="006E24D4" w:rsidRDefault="006E24D4" w:rsidP="006E24D4">
      <w:pPr>
        <w:numPr>
          <w:ilvl w:val="0"/>
          <w:numId w:val="6"/>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położenie nacisku na rozwój kontaktów z osobami polskiego pochodzenia i ich motywowanie do powrotów </w:t>
      </w:r>
    </w:p>
    <w:p w14:paraId="61BD98D0" w14:textId="77777777" w:rsidR="006E24D4" w:rsidRPr="006E24D4" w:rsidRDefault="006E24D4" w:rsidP="006E24D4">
      <w:pPr>
        <w:numPr>
          <w:ilvl w:val="0"/>
          <w:numId w:val="6"/>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 xml:space="preserve">usprawnienie polityki informacyjnej, m.in. w sprawach podatkowych i emerytalnych, w tym w zakresie już istniejących instrumentów wspierających polskich obywateli w procesie reemigracji (np. portal „Powroty” </w:t>
      </w:r>
      <w:hyperlink r:id="rId5" w:history="1">
        <w:r w:rsidRPr="006E24D4">
          <w:rPr>
            <w:rFonts w:ascii="Lato" w:eastAsia="Times New Roman" w:hAnsi="Lato" w:cs="Times New Roman"/>
            <w:color w:val="0563C1"/>
            <w:u w:val="single"/>
            <w:lang w:val="pl-PL" w:eastAsia="sv-SE"/>
          </w:rPr>
          <w:t>www.powroty.gov.pl</w:t>
        </w:r>
      </w:hyperlink>
      <w:r w:rsidRPr="006E24D4">
        <w:rPr>
          <w:rFonts w:ascii="Lato" w:eastAsia="Times New Roman" w:hAnsi="Lato" w:cs="Times New Roman"/>
          <w:color w:val="000000"/>
          <w:lang w:val="pl-PL" w:eastAsia="sv-SE"/>
        </w:rPr>
        <w:t>)</w:t>
      </w:r>
    </w:p>
    <w:p w14:paraId="419C5D8C" w14:textId="77777777" w:rsidR="006E24D4" w:rsidRPr="006E24D4" w:rsidRDefault="006E24D4" w:rsidP="006E24D4">
      <w:pPr>
        <w:numPr>
          <w:ilvl w:val="0"/>
          <w:numId w:val="6"/>
        </w:numPr>
        <w:spacing w:after="160"/>
        <w:jc w:val="both"/>
        <w:textAlignment w:val="baseline"/>
        <w:rPr>
          <w:rFonts w:ascii="Lato" w:eastAsia="Times New Roman" w:hAnsi="Lato" w:cs="Times New Roman"/>
          <w:color w:val="FF0000"/>
          <w:lang w:val="pl-PL" w:eastAsia="sv-SE"/>
        </w:rPr>
      </w:pPr>
      <w:r w:rsidRPr="006E24D4">
        <w:rPr>
          <w:rFonts w:ascii="Lato" w:eastAsia="Times New Roman" w:hAnsi="Lato" w:cs="Times New Roman"/>
          <w:color w:val="FF0000"/>
          <w:lang w:val="pl-PL" w:eastAsia="sv-SE"/>
        </w:rPr>
        <w:t>wykorzystanie sieci mediów polonijnych do identyfikacji barier oraz potrzeb osób rozważających powrót do Polski, aby lepiej dostosować politykę powrotów do ich oczekiwań.</w:t>
      </w:r>
    </w:p>
    <w:p w14:paraId="26BD929C" w14:textId="77777777" w:rsidR="006E24D4" w:rsidRPr="006E24D4" w:rsidRDefault="006E24D4" w:rsidP="006E24D4">
      <w:pPr>
        <w:numPr>
          <w:ilvl w:val="0"/>
          <w:numId w:val="7"/>
        </w:numPr>
        <w:spacing w:after="160"/>
        <w:ind w:left="717"/>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mobilność zawodowa </w:t>
      </w:r>
    </w:p>
    <w:p w14:paraId="51AE40D7" w14:textId="77777777" w:rsidR="006E24D4" w:rsidRPr="006E24D4" w:rsidRDefault="006E24D4" w:rsidP="006E24D4">
      <w:pPr>
        <w:numPr>
          <w:ilvl w:val="0"/>
          <w:numId w:val="8"/>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zaproponowanie systemu ułatwień i zachęt do powrotu, uwzględniającego zarówno ułatwienia administracyjne, w tym podatkowe, jak i instrumenty wspierające integrację w nowych warunkach, w tym dla członków rodziny </w:t>
      </w:r>
    </w:p>
    <w:p w14:paraId="24FA4D9A" w14:textId="77777777" w:rsidR="006E24D4" w:rsidRPr="006E24D4" w:rsidRDefault="006E24D4" w:rsidP="006E24D4">
      <w:pPr>
        <w:numPr>
          <w:ilvl w:val="0"/>
          <w:numId w:val="8"/>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stworzenie programu utrzymywania stałego kontaktu z obywatelami polskimi studiującymi za granicą wraz z systemem zachęt do powrotu do kraju po zakończeniu edukacji wyższej za granicą </w:t>
      </w:r>
    </w:p>
    <w:p w14:paraId="317FCA17" w14:textId="77777777" w:rsidR="006E24D4" w:rsidRPr="006E24D4" w:rsidRDefault="006E24D4" w:rsidP="006E24D4">
      <w:pPr>
        <w:numPr>
          <w:ilvl w:val="0"/>
          <w:numId w:val="8"/>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0E78903A" w14:textId="77777777" w:rsidR="006E24D4" w:rsidRPr="006E24D4" w:rsidRDefault="006E24D4" w:rsidP="006E24D4">
      <w:pPr>
        <w:numPr>
          <w:ilvl w:val="0"/>
          <w:numId w:val="8"/>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lastRenderedPageBreak/>
        <w:t>promowanie wsparcia udzielanego przez urzędy pracy m.in. w zakresie doradztwa zawodowego i pośrednictwa pracy, jak również wsparcia finansowego przy tworzeniu miejsc pracy (np. grant na pracę zdalną czy bon na zasiedlenie), czy zakładania działalności gospodarczej</w:t>
      </w:r>
    </w:p>
    <w:p w14:paraId="4241B991" w14:textId="77777777" w:rsidR="006E24D4" w:rsidRPr="006E24D4" w:rsidRDefault="006E24D4" w:rsidP="006E24D4">
      <w:pPr>
        <w:numPr>
          <w:ilvl w:val="0"/>
          <w:numId w:val="8"/>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6E78C7DD" w14:textId="77777777" w:rsidR="006E24D4" w:rsidRPr="006E24D4" w:rsidRDefault="006E24D4" w:rsidP="006E24D4">
      <w:pPr>
        <w:numPr>
          <w:ilvl w:val="0"/>
          <w:numId w:val="8"/>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modernizacja i usprawnienie procedur administracyjnych związanych z uznawaniem kwalifikacji zawodowych dla osób polskiego pochodzenia, chcących wykonywać w Polsce zawód regulowany, w szczególności w odniesieniu do zawodów medycznych, zwłaszcza dla osób, które nabyły kwalifikacje poza obszarem UE</w:t>
      </w:r>
    </w:p>
    <w:p w14:paraId="2A986179" w14:textId="77777777" w:rsidR="006E24D4" w:rsidRPr="006E24D4" w:rsidRDefault="006E24D4" w:rsidP="006E24D4">
      <w:pPr>
        <w:numPr>
          <w:ilvl w:val="0"/>
          <w:numId w:val="9"/>
        </w:numPr>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kształcenie akademickie </w:t>
      </w:r>
    </w:p>
    <w:p w14:paraId="32E01FEC" w14:textId="77777777" w:rsidR="006E24D4" w:rsidRPr="006E24D4" w:rsidRDefault="006E24D4" w:rsidP="006E24D4">
      <w:pPr>
        <w:numPr>
          <w:ilvl w:val="0"/>
          <w:numId w:val="10"/>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stwarzanie młodzieży polskiego pochodzenia możliwości odbycia studiów w Polsce oraz poprawy znajomości języka polskiego </w:t>
      </w:r>
    </w:p>
    <w:p w14:paraId="5B3566B7" w14:textId="77777777" w:rsidR="006E24D4" w:rsidRPr="006E24D4" w:rsidRDefault="006E24D4" w:rsidP="006E24D4">
      <w:pPr>
        <w:numPr>
          <w:ilvl w:val="0"/>
          <w:numId w:val="10"/>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 dialogu z polskimi uczelniami wyższymi i przy poszanowaniu autonomii ich funkcjonowania podjęcie próby lepszego skorelowania kalendarza rekrutacji na polskie uczelnie wyższe z systemem edukacyjnym w innych krajach, w celu umożliwienia osobom polskiego pochodzenia, kończącym edukację średnią za granicą, aplikowanie o przyjęcie na studia w Polsce, bez konieczności oczekiwania na kolejny cykl rekrutacyjny </w:t>
      </w:r>
    </w:p>
    <w:p w14:paraId="2AB26D59" w14:textId="77777777" w:rsidR="006E24D4" w:rsidRPr="006E24D4" w:rsidRDefault="006E24D4" w:rsidP="006E24D4">
      <w:pPr>
        <w:numPr>
          <w:ilvl w:val="0"/>
          <w:numId w:val="10"/>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dążenie do objęcia wszystkich studentów studiujących 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finansowania takich kursów </w:t>
      </w:r>
    </w:p>
    <w:p w14:paraId="1A19B445" w14:textId="77777777" w:rsidR="006E24D4" w:rsidRPr="006E24D4" w:rsidRDefault="006E24D4" w:rsidP="006E24D4">
      <w:pPr>
        <w:numPr>
          <w:ilvl w:val="0"/>
          <w:numId w:val="10"/>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kontynuowanie wsparcia dla młodzieży polonijnej podejmującej kształcenie na studiach w Polsce poprzez wsparcie stypendialne oraz zapewnienie kursów przygotowujących do studiów w języku polskim (program Anders NAWA, program Kursy Przygotowawcze NAWA) </w:t>
      </w:r>
    </w:p>
    <w:p w14:paraId="672572BC" w14:textId="77777777" w:rsidR="006E24D4" w:rsidRPr="006E24D4" w:rsidRDefault="006E24D4" w:rsidP="006E24D4">
      <w:pPr>
        <w:numPr>
          <w:ilvl w:val="0"/>
          <w:numId w:val="11"/>
        </w:numPr>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mobilność naukowa </w:t>
      </w:r>
    </w:p>
    <w:p w14:paraId="22AF94EE" w14:textId="77777777" w:rsidR="006E24D4" w:rsidRPr="006E24D4" w:rsidRDefault="006E24D4" w:rsidP="006E24D4">
      <w:pPr>
        <w:numPr>
          <w:ilvl w:val="0"/>
          <w:numId w:val="12"/>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wsparcie dla naukowców polskiego pochodzenia wracających do Polski 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44F120E3" w14:textId="77777777" w:rsidR="006E24D4" w:rsidRPr="006E24D4" w:rsidRDefault="006E24D4" w:rsidP="006E24D4">
      <w:pPr>
        <w:numPr>
          <w:ilvl w:val="0"/>
          <w:numId w:val="12"/>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 xml:space="preserve">działania komunikacyjne, wizerunkowe i </w:t>
      </w:r>
      <w:proofErr w:type="spellStart"/>
      <w:r w:rsidRPr="006E24D4">
        <w:rPr>
          <w:rFonts w:ascii="Lato" w:eastAsia="Times New Roman" w:hAnsi="Lato" w:cs="Times New Roman"/>
          <w:color w:val="000000"/>
          <w:lang w:val="pl-PL" w:eastAsia="sv-SE"/>
        </w:rPr>
        <w:t>networkingowe</w:t>
      </w:r>
      <w:proofErr w:type="spellEnd"/>
      <w:r w:rsidRPr="006E24D4">
        <w:rPr>
          <w:rFonts w:ascii="Lato" w:eastAsia="Times New Roman" w:hAnsi="Lato" w:cs="Times New Roman"/>
          <w:color w:val="000000"/>
          <w:lang w:val="pl-PL" w:eastAsia="sv-SE"/>
        </w:rPr>
        <w:t xml:space="preserve"> skierowane do naukowców polskiego pochodzenia pracujących za granicą, którzy nie planują aktualnie powrotu do Polski, ale stanowią potencjał w rozwijaniu międzynarodowej współpracy naukowej</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1C0A0287"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787AB"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u w:val="single"/>
                <w:lang w:val="pl-PL" w:eastAsia="sv-SE"/>
              </w:rPr>
              <w:t>Jednostki odpowiedzialne: </w:t>
            </w:r>
          </w:p>
          <w:p w14:paraId="776C97D7"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lastRenderedPageBreak/>
              <w:t>Ministerstwo Nauki i Szkolnictwa Wyższego, Ministerstwo Kultury i Dziedzictwa Narodowego, Ministerstwo Zdrowia, Ministerstwo Spraw Zagranicznych, Ministerstwo Rodziny, Pracy i Polityki Społecznej</w:t>
            </w:r>
          </w:p>
        </w:tc>
      </w:tr>
    </w:tbl>
    <w:p w14:paraId="470FAC6A"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lang w:val="pl-PL" w:eastAsia="sv-SE"/>
        </w:rPr>
        <w:lastRenderedPageBreak/>
        <w:tab/>
      </w:r>
    </w:p>
    <w:p w14:paraId="3F564143" w14:textId="77777777" w:rsidR="006E24D4" w:rsidRPr="006E24D4" w:rsidRDefault="006E24D4" w:rsidP="006E24D4">
      <w:pPr>
        <w:numPr>
          <w:ilvl w:val="0"/>
          <w:numId w:val="13"/>
        </w:numPr>
        <w:spacing w:after="160"/>
        <w:ind w:left="717"/>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Edukacja obywatelska</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14B62578"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2909D"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sz w:val="22"/>
                <w:szCs w:val="22"/>
                <w:u w:val="single"/>
                <w:lang w:val="pl-PL" w:eastAsia="sv-SE"/>
              </w:rPr>
              <w:t>Kontekst: </w:t>
            </w:r>
          </w:p>
          <w:p w14:paraId="4242B8BE"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sz w:val="22"/>
                <w:szCs w:val="22"/>
                <w:lang w:val="pl-PL" w:eastAsia="sv-SE"/>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w:t>
            </w:r>
            <w:proofErr w:type="gramStart"/>
            <w:r w:rsidRPr="006E24D4">
              <w:rPr>
                <w:rFonts w:ascii="Lato" w:eastAsia="Times New Roman" w:hAnsi="Lato" w:cs="Times New Roman"/>
                <w:i/>
                <w:iCs/>
                <w:color w:val="000000"/>
                <w:sz w:val="22"/>
                <w:szCs w:val="22"/>
                <w:lang w:val="pl-PL" w:eastAsia="sv-SE"/>
              </w:rPr>
              <w:t>interesów..</w:t>
            </w:r>
            <w:proofErr w:type="gramEnd"/>
            <w:r w:rsidRPr="006E24D4">
              <w:rPr>
                <w:rFonts w:ascii="Lato" w:eastAsia="Times New Roman" w:hAnsi="Lato" w:cs="Times New Roman"/>
                <w:i/>
                <w:iCs/>
                <w:color w:val="000000"/>
                <w:sz w:val="22"/>
                <w:szCs w:val="22"/>
                <w:lang w:val="pl-PL" w:eastAsia="sv-SE"/>
              </w:rPr>
              <w:t xml:space="preserve">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2AC83B45" w14:textId="77777777" w:rsidR="006E24D4" w:rsidRPr="006E24D4" w:rsidRDefault="006E24D4" w:rsidP="006E24D4">
      <w:pPr>
        <w:numPr>
          <w:ilvl w:val="0"/>
          <w:numId w:val="14"/>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kreowanie oraz wzmacnianie postaw prospołecznych wśród członków polskiej społeczności na świecie, promowanie zaangażowania w działalność społeczną oraz publiczną nakierowaną nie tylko na współpracę z Polską, ale również na aktywność w kraju zamieszkania oraz we wspólnocie lokalnej, przez co możliwe będzie uzyskanie dwukierunkowej integracji w kraju zamieszkania przy utrzymaniu związków z Polską</w:t>
      </w:r>
    </w:p>
    <w:p w14:paraId="5E969544" w14:textId="77777777" w:rsidR="006E24D4" w:rsidRPr="006E24D4" w:rsidRDefault="006E24D4" w:rsidP="006E24D4">
      <w:pPr>
        <w:numPr>
          <w:ilvl w:val="0"/>
          <w:numId w:val="14"/>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stworzenie programu oraz realizacja projektów z zakresu szeroko pojętej edukacji obywatelskiej, skierowanych do grupy polonijnych liderów, nakierowanych na zwiększenie ich zaangażowania w życie społeczne i polityczne kraju zamieszkania</w:t>
      </w:r>
    </w:p>
    <w:p w14:paraId="51E92B51" w14:textId="77777777" w:rsidR="006E24D4" w:rsidRPr="006E24D4" w:rsidRDefault="006E24D4" w:rsidP="006E24D4">
      <w:pPr>
        <w:numPr>
          <w:ilvl w:val="0"/>
          <w:numId w:val="14"/>
        </w:numPr>
        <w:spacing w:before="160" w:after="160"/>
        <w:ind w:left="717"/>
        <w:jc w:val="both"/>
        <w:textAlignment w:val="baseline"/>
        <w:rPr>
          <w:rFonts w:ascii="Lato" w:eastAsia="Times New Roman" w:hAnsi="Lato" w:cs="Times New Roman"/>
          <w:color w:val="FF0000"/>
          <w:lang w:val="pl-PL" w:eastAsia="sv-SE"/>
        </w:rPr>
      </w:pPr>
      <w:r w:rsidRPr="006E24D4">
        <w:rPr>
          <w:rFonts w:ascii="Lato" w:eastAsia="Times New Roman" w:hAnsi="Lato" w:cs="Times New Roman"/>
          <w:color w:val="FF0000"/>
          <w:lang w:val="pl-PL" w:eastAsia="sv-SE"/>
        </w:rPr>
        <w:t>ułatwienie dostępu do treści edukacyjnych w mediach polonijnych poprzez wsparcie finansowe i organizacyjne dla projektów medialnych związanych z edukacją obywatelską, zgodnie z polityką i przy współpracy z Ministerstwem Edukacji </w:t>
      </w:r>
    </w:p>
    <w:p w14:paraId="792FA58E" w14:textId="77777777" w:rsidR="006E24D4" w:rsidRPr="006E24D4" w:rsidRDefault="006E24D4" w:rsidP="006E24D4">
      <w:pPr>
        <w:numPr>
          <w:ilvl w:val="0"/>
          <w:numId w:val="14"/>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i wolności obywatelskich, wynikających także z wiążących Polskę zobowiązań międzynarodowych</w:t>
      </w:r>
    </w:p>
    <w:p w14:paraId="33EF1E57" w14:textId="77777777" w:rsidR="006E24D4" w:rsidRPr="006E24D4" w:rsidRDefault="006E24D4" w:rsidP="006E24D4">
      <w:pPr>
        <w:rPr>
          <w:rFonts w:ascii="Times New Roman" w:eastAsia="Times New Roman" w:hAnsi="Times New Roman" w:cs="Times New Roman"/>
          <w:color w:val="000000"/>
          <w:lang w:val="pl-PL" w:eastAsia="sv-SE"/>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787A8FF7"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BBCB4"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u w:val="single"/>
                <w:lang w:val="pl-PL" w:eastAsia="sv-SE"/>
              </w:rPr>
              <w:t>Jednostki odpowiedzialne: </w:t>
            </w:r>
          </w:p>
          <w:p w14:paraId="7B334211"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t xml:space="preserve">Ministerstwo Sprawiedliwości, Ministerstwo Spraw Zagranicznych we współpracy z Ministerstwem Edukacji oraz </w:t>
            </w:r>
            <w:proofErr w:type="spellStart"/>
            <w:r w:rsidRPr="006E24D4">
              <w:rPr>
                <w:rFonts w:ascii="Lato" w:eastAsia="Times New Roman" w:hAnsi="Lato" w:cs="Times New Roman"/>
                <w:i/>
                <w:iCs/>
                <w:color w:val="000000"/>
                <w:lang w:val="pl-PL" w:eastAsia="sv-SE"/>
              </w:rPr>
              <w:t>Ministrą</w:t>
            </w:r>
            <w:proofErr w:type="spellEnd"/>
            <w:r w:rsidRPr="006E24D4">
              <w:rPr>
                <w:rFonts w:ascii="Lato" w:eastAsia="Times New Roman" w:hAnsi="Lato" w:cs="Times New Roman"/>
                <w:i/>
                <w:iCs/>
                <w:color w:val="000000"/>
                <w:lang w:val="pl-PL" w:eastAsia="sv-SE"/>
              </w:rPr>
              <w:t xml:space="preserve"> ds. Społeczeństwa Obywatelskiego, Urząd ds. Kombatantów i Osób Represjonowanych</w:t>
            </w:r>
          </w:p>
        </w:tc>
      </w:tr>
    </w:tbl>
    <w:p w14:paraId="10F1F86F" w14:textId="77777777" w:rsidR="006E24D4" w:rsidRPr="006E24D4" w:rsidRDefault="006E24D4" w:rsidP="006E24D4">
      <w:pPr>
        <w:rPr>
          <w:rFonts w:ascii="Times New Roman" w:eastAsia="Times New Roman" w:hAnsi="Times New Roman" w:cs="Times New Roman"/>
          <w:color w:val="000000"/>
          <w:lang w:val="pl-PL" w:eastAsia="sv-SE"/>
        </w:rPr>
      </w:pPr>
    </w:p>
    <w:p w14:paraId="2DD47DFC" w14:textId="77777777" w:rsidR="006E24D4" w:rsidRPr="006E24D4" w:rsidRDefault="006E24D4" w:rsidP="006E24D4">
      <w:pPr>
        <w:numPr>
          <w:ilvl w:val="0"/>
          <w:numId w:val="15"/>
        </w:numPr>
        <w:spacing w:after="160"/>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Finasowanie działalności polonijnej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15763468"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20736" w14:textId="77777777" w:rsidR="006E24D4" w:rsidRPr="006E24D4" w:rsidRDefault="006E24D4" w:rsidP="006E24D4">
            <w:pPr>
              <w:spacing w:before="120"/>
              <w:rPr>
                <w:rFonts w:ascii="Times New Roman" w:eastAsia="Times New Roman" w:hAnsi="Times New Roman" w:cs="Times New Roman"/>
                <w:lang w:val="pl-PL" w:eastAsia="sv-SE"/>
              </w:rPr>
            </w:pPr>
            <w:r w:rsidRPr="006E24D4">
              <w:rPr>
                <w:rFonts w:ascii="Calibri" w:eastAsia="Times New Roman" w:hAnsi="Calibri" w:cs="Calibri"/>
                <w:b/>
                <w:bCs/>
                <w:i/>
                <w:iCs/>
                <w:color w:val="000000"/>
                <w:sz w:val="22"/>
                <w:szCs w:val="22"/>
                <w:u w:val="single"/>
                <w:lang w:val="pl-PL" w:eastAsia="sv-SE"/>
              </w:rPr>
              <w:lastRenderedPageBreak/>
              <w:t>Kontekst:</w:t>
            </w:r>
          </w:p>
          <w:p w14:paraId="1F0B7437"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sz w:val="22"/>
                <w:szCs w:val="22"/>
                <w:lang w:val="pl-PL" w:eastAsia="sv-SE"/>
              </w:rPr>
              <w:t>Wiele krajów, zwłaszcza europejskich, udostępnia organizacjom społeczeństwa obywatelskiego środki i fundusze na prowadzenie działalności programowej. Po środki te organizacje 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 poszukiwaniu lokalnych możliwości finasowania aktywności, wykorzystania lokalnych partnerstw i instrumentów prywatnego sponsoringu, jak również promowania wolontariatu oraz pozycjonować polskie środki budżetowe jako uzupełniające wobec ww. źródeł finasowania.</w:t>
            </w:r>
          </w:p>
        </w:tc>
      </w:tr>
    </w:tbl>
    <w:p w14:paraId="72C525C3" w14:textId="77777777" w:rsidR="006E24D4" w:rsidRPr="006E24D4" w:rsidRDefault="006E24D4" w:rsidP="006E24D4">
      <w:pPr>
        <w:numPr>
          <w:ilvl w:val="0"/>
          <w:numId w:val="16"/>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przegląd możliwości finansowania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o alternatywnych źródłach finansowania </w:t>
      </w:r>
    </w:p>
    <w:p w14:paraId="10469B96" w14:textId="77777777" w:rsidR="006E24D4" w:rsidRPr="006E24D4" w:rsidRDefault="006E24D4" w:rsidP="006E24D4">
      <w:pPr>
        <w:numPr>
          <w:ilvl w:val="0"/>
          <w:numId w:val="16"/>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budowa zdolności organizacji polonijnych w zakresie pozyskiwania dostępnych lokalnie środków finansowych, budowania partnerstw oraz pozyskiwania prywatnego sponsoringu</w:t>
      </w:r>
    </w:p>
    <w:p w14:paraId="7FCB72A0" w14:textId="77777777" w:rsidR="006E24D4" w:rsidRPr="006E24D4" w:rsidRDefault="006E24D4" w:rsidP="006E24D4">
      <w:pPr>
        <w:numPr>
          <w:ilvl w:val="0"/>
          <w:numId w:val="16"/>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opracowanie harmonogramu oraz zasad stopniowego odchodzenia 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3AF9599D" w14:textId="77777777" w:rsidR="006E24D4" w:rsidRPr="006E24D4" w:rsidRDefault="006E24D4" w:rsidP="006E24D4">
      <w:pPr>
        <w:numPr>
          <w:ilvl w:val="0"/>
          <w:numId w:val="16"/>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uproszczenie procedur konkursowych oraz poprawa ich przejrzystości, wprowadzenie lepszej koordynacji na etapie planowania postępowań </w:t>
      </w:r>
    </w:p>
    <w:p w14:paraId="0AEFAEAF" w14:textId="77777777" w:rsidR="006E24D4" w:rsidRPr="006E24D4" w:rsidRDefault="006E24D4" w:rsidP="006E24D4">
      <w:pPr>
        <w:numPr>
          <w:ilvl w:val="0"/>
          <w:numId w:val="16"/>
        </w:numPr>
        <w:spacing w:after="160"/>
        <w:jc w:val="both"/>
        <w:textAlignment w:val="baseline"/>
        <w:rPr>
          <w:rFonts w:ascii="Lato" w:eastAsia="Times New Roman" w:hAnsi="Lato" w:cs="Times New Roman"/>
          <w:color w:val="FF0000"/>
          <w:lang w:val="pl-PL" w:eastAsia="sv-SE"/>
        </w:rPr>
      </w:pPr>
      <w:r w:rsidRPr="006E24D4">
        <w:rPr>
          <w:rFonts w:ascii="Lato" w:eastAsia="Times New Roman" w:hAnsi="Lato" w:cs="Times New Roman"/>
          <w:color w:val="FF0000"/>
          <w:lang w:val="pl-PL" w:eastAsia="sv-SE"/>
        </w:rPr>
        <w:t>stworzenie dedykowanych programów grantowych dla mediów polonijnych, w ciągu całego roku, umożliwiających finansowanie projektów informacyjnych, edukacyjnych i kulturalnych ad hoc</w:t>
      </w:r>
    </w:p>
    <w:p w14:paraId="280D3077" w14:textId="77777777" w:rsidR="006E24D4" w:rsidRPr="006E24D4" w:rsidRDefault="006E24D4" w:rsidP="006E24D4">
      <w:pPr>
        <w:rPr>
          <w:rFonts w:ascii="Times New Roman" w:eastAsia="Times New Roman" w:hAnsi="Times New Roman" w:cs="Times New Roman"/>
          <w:color w:val="000000"/>
          <w:lang w:val="pl-PL" w:eastAsia="sv-SE"/>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2FE42727" w14:textId="77777777" w:rsidTr="006E24D4">
        <w:trPr>
          <w:trHeight w:val="15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9043F" w14:textId="77777777" w:rsidR="006E24D4" w:rsidRPr="006E24D4" w:rsidRDefault="006E24D4" w:rsidP="006E24D4">
            <w:pPr>
              <w:spacing w:before="120"/>
              <w:rPr>
                <w:rFonts w:ascii="Times New Roman" w:eastAsia="Times New Roman" w:hAnsi="Times New Roman" w:cs="Times New Roman"/>
                <w:lang w:val="pl-PL" w:eastAsia="sv-SE"/>
              </w:rPr>
            </w:pPr>
            <w:r w:rsidRPr="006E24D4">
              <w:rPr>
                <w:rFonts w:ascii="Lato" w:eastAsia="Times New Roman" w:hAnsi="Lato" w:cs="Times New Roman"/>
                <w:b/>
                <w:bCs/>
                <w:i/>
                <w:iCs/>
                <w:color w:val="000000"/>
                <w:u w:val="single"/>
                <w:lang w:val="pl-PL" w:eastAsia="sv-SE"/>
              </w:rPr>
              <w:t>Jednostki odpowiedzialne: </w:t>
            </w:r>
          </w:p>
          <w:p w14:paraId="7DF4B582" w14:textId="77777777" w:rsidR="006E24D4" w:rsidRPr="006E24D4" w:rsidRDefault="006E24D4" w:rsidP="006E24D4">
            <w:pPr>
              <w:spacing w:after="120"/>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t>Ministerstwo Spraw Zagranicznych we współpracy z właściwymi resortami i instytucjami państwowymi oraz Senatem RP</w:t>
            </w:r>
          </w:p>
        </w:tc>
      </w:tr>
    </w:tbl>
    <w:p w14:paraId="5EBEBE6F" w14:textId="77777777" w:rsidR="006E24D4" w:rsidRPr="006E24D4" w:rsidRDefault="006E24D4" w:rsidP="006E24D4">
      <w:pPr>
        <w:rPr>
          <w:rFonts w:ascii="Times New Roman" w:eastAsia="Times New Roman" w:hAnsi="Times New Roman" w:cs="Times New Roman"/>
          <w:color w:val="000000"/>
          <w:lang w:val="pl-PL" w:eastAsia="sv-SE"/>
        </w:rPr>
      </w:pPr>
    </w:p>
    <w:p w14:paraId="569C9C2A" w14:textId="77777777" w:rsidR="006E24D4" w:rsidRPr="006E24D4" w:rsidRDefault="006E24D4" w:rsidP="006E24D4">
      <w:pPr>
        <w:numPr>
          <w:ilvl w:val="0"/>
          <w:numId w:val="17"/>
        </w:numPr>
        <w:spacing w:after="160"/>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Działania na rzecz podtrzymania tożsamości, więzi z krajem oraz zachowania dziedzictwa kulturowego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05FB4CC9"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FCA0E" w14:textId="77777777" w:rsidR="006E24D4" w:rsidRPr="006E24D4" w:rsidRDefault="006E24D4" w:rsidP="006E24D4">
            <w:pPr>
              <w:spacing w:before="120"/>
              <w:rPr>
                <w:rFonts w:ascii="Times New Roman" w:eastAsia="Times New Roman" w:hAnsi="Times New Roman" w:cs="Times New Roman"/>
                <w:lang w:val="pl-PL" w:eastAsia="sv-SE"/>
              </w:rPr>
            </w:pPr>
            <w:r w:rsidRPr="006E24D4">
              <w:rPr>
                <w:rFonts w:ascii="Lato" w:eastAsia="Times New Roman" w:hAnsi="Lato" w:cs="Times New Roman"/>
                <w:b/>
                <w:bCs/>
                <w:i/>
                <w:iCs/>
                <w:color w:val="000000"/>
                <w:sz w:val="22"/>
                <w:szCs w:val="22"/>
                <w:u w:val="single"/>
                <w:lang w:val="pl-PL" w:eastAsia="sv-SE"/>
              </w:rPr>
              <w:t>Kontekst: </w:t>
            </w:r>
          </w:p>
          <w:p w14:paraId="4B9749E9" w14:textId="77777777" w:rsidR="006E24D4" w:rsidRPr="006E24D4" w:rsidRDefault="006E24D4" w:rsidP="006E24D4">
            <w:pPr>
              <w:spacing w:after="16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sz w:val="22"/>
                <w:szCs w:val="22"/>
                <w:lang w:val="pl-PL" w:eastAsia="sv-SE"/>
              </w:rPr>
              <w:t xml:space="preserve">Organizacje polonijne i emigracyjne odgrywają kluczową rolę w zakresie podtrzymywania polskiego dziedzictwa kulturowego za granicą, kontynuując w ramach lokalnych społeczności polonijnych polskie tradycje i zwyczaje, zapewniając dostęp do polskiej kultury, w tym poprzez </w:t>
            </w:r>
            <w:r w:rsidRPr="006E24D4">
              <w:rPr>
                <w:rFonts w:ascii="Lato" w:eastAsia="Times New Roman" w:hAnsi="Lato" w:cs="Times New Roman"/>
                <w:i/>
                <w:iCs/>
                <w:color w:val="000000"/>
                <w:sz w:val="22"/>
                <w:szCs w:val="22"/>
                <w:lang w:val="pl-PL" w:eastAsia="sv-SE"/>
              </w:rPr>
              <w:lastRenderedPageBreak/>
              <w:t>utrzymywanie stosownej infrastruktury oraz sprawując opiekę nad materialnymi obiektami polskiego dziedzictwa kulturowego za granicą oraz polskimi miejscami pamięci.</w:t>
            </w:r>
            <w:r w:rsidRPr="006E24D4">
              <w:rPr>
                <w:rFonts w:ascii="Calibri" w:eastAsia="Times New Roman" w:hAnsi="Calibri" w:cs="Calibri"/>
                <w:i/>
                <w:iCs/>
                <w:color w:val="000000"/>
                <w:sz w:val="22"/>
                <w:szCs w:val="22"/>
                <w:lang w:val="pl-PL" w:eastAsia="sv-SE"/>
              </w:rPr>
              <w:t> </w:t>
            </w:r>
          </w:p>
        </w:tc>
      </w:tr>
    </w:tbl>
    <w:p w14:paraId="14BD6608"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Times New Roman" w:eastAsia="Times New Roman" w:hAnsi="Times New Roman" w:cs="Times New Roman"/>
          <w:color w:val="000000"/>
          <w:lang w:val="pl-PL" w:eastAsia="sv-SE"/>
        </w:rPr>
        <w:lastRenderedPageBreak/>
        <w:br/>
      </w:r>
    </w:p>
    <w:p w14:paraId="40FFFE6C" w14:textId="77777777" w:rsidR="006E24D4" w:rsidRPr="006E24D4" w:rsidRDefault="006E24D4" w:rsidP="006E24D4">
      <w:pPr>
        <w:numPr>
          <w:ilvl w:val="0"/>
          <w:numId w:val="18"/>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przygotowanie i stała aktualizacja narzędzia przeznaczonego do monitorowania i mapowania rozmieszczenia polskiej obecności na świecie, zmian zachodzących w strukturze Polonii oraz w dynamice migracji Polaków i osób polskiego pochodzenia </w:t>
      </w:r>
    </w:p>
    <w:p w14:paraId="37D053F2" w14:textId="77777777" w:rsidR="006E24D4" w:rsidRPr="006E24D4" w:rsidRDefault="006E24D4" w:rsidP="006E24D4">
      <w:pPr>
        <w:numPr>
          <w:ilvl w:val="0"/>
          <w:numId w:val="18"/>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współpraca z organizacjami polonijnymi, które w odpowiedzi na potrzeby lokalnych społeczności polonijnych oraz z uwagi na atrakcyjność Polski jako kraju pochodzenia 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 </w:t>
      </w:r>
    </w:p>
    <w:p w14:paraId="4E31352B" w14:textId="77777777" w:rsidR="006E24D4" w:rsidRPr="006E24D4" w:rsidRDefault="006E24D4" w:rsidP="006E24D4">
      <w:pPr>
        <w:numPr>
          <w:ilvl w:val="0"/>
          <w:numId w:val="18"/>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wspieranie „sukcesorów” tj. pokolenia dzieci i wnuków, którzy – nie tylko lokalnie – deklarują wolę podtrzymywania polskiej tradycji i konkretnych aktywności w zakresie polityki historycznej </w:t>
      </w:r>
    </w:p>
    <w:p w14:paraId="50D18CAF" w14:textId="77777777" w:rsidR="006E24D4" w:rsidRPr="006E24D4" w:rsidRDefault="006E24D4" w:rsidP="006E24D4">
      <w:pPr>
        <w:numPr>
          <w:ilvl w:val="0"/>
          <w:numId w:val="18"/>
        </w:numPr>
        <w:spacing w:before="160"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opieka nad polskimi miejscami pamięci narodowej, w szczególności cmentarzami wojennymi oraz prowadzenie działalności edukacyjno-patriotycznej i odznaczeniowej, w szczególności wobec Polaków i osób polskiego pochodzenia zamieszkałych na Wschodzie</w:t>
      </w:r>
    </w:p>
    <w:p w14:paraId="120EFC27" w14:textId="77777777" w:rsidR="006E24D4" w:rsidRPr="006E24D4" w:rsidRDefault="006E24D4" w:rsidP="006E24D4">
      <w:pPr>
        <w:numPr>
          <w:ilvl w:val="0"/>
          <w:numId w:val="19"/>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i bibliotek emigracyjnych</w:t>
      </w:r>
    </w:p>
    <w:p w14:paraId="63EC3131" w14:textId="77777777" w:rsidR="006E24D4" w:rsidRPr="006E24D4" w:rsidRDefault="006E24D4" w:rsidP="006E24D4">
      <w:pPr>
        <w:numPr>
          <w:ilvl w:val="0"/>
          <w:numId w:val="19"/>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wspieranie działań i tworzenie oraz prowadzenie mechanizmów wsparcia finansowego na rzecz ochrony oraz zachowania polskiego dziedzictwa kulturowego znajdującego się poza granicami Rzeczypospolitej Polskiej, przy jednoczesnym popularyzowaniu wiedzy na temat tej spuścizny kulturowej, obejmującej dziedzictwo wytworzone, zgromadzone lub przechowywane przez organizacje polonijne i emigracyjne</w:t>
      </w:r>
    </w:p>
    <w:p w14:paraId="77281A83" w14:textId="77777777" w:rsidR="006E24D4" w:rsidRPr="006E24D4" w:rsidRDefault="006E24D4" w:rsidP="006E24D4">
      <w:pPr>
        <w:numPr>
          <w:ilvl w:val="0"/>
          <w:numId w:val="19"/>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dokumentowanie, inwentaryzacja i konserwacja znajdujących się za granicą zabytków kultury polskiej i z Polską związanych</w:t>
      </w:r>
      <w:r w:rsidRPr="006E24D4">
        <w:rPr>
          <w:rFonts w:ascii="Calibri" w:eastAsia="Times New Roman" w:hAnsi="Calibri" w:cs="Calibri"/>
          <w:color w:val="000000"/>
          <w:sz w:val="22"/>
          <w:szCs w:val="22"/>
          <w:lang w:val="pl-PL" w:eastAsia="sv-SE"/>
        </w:rPr>
        <w:t> </w:t>
      </w:r>
    </w:p>
    <w:p w14:paraId="588DFB24" w14:textId="77777777" w:rsidR="006E24D4" w:rsidRPr="006E24D4" w:rsidRDefault="006E24D4" w:rsidP="006E24D4">
      <w:pPr>
        <w:numPr>
          <w:ilvl w:val="0"/>
          <w:numId w:val="19"/>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popularyzacja znajdujących się poza granicami kraju zbiorów i kolekcji cennych dla polskiego dziedzictwa narodowego</w:t>
      </w:r>
    </w:p>
    <w:p w14:paraId="59E86EF7" w14:textId="77777777" w:rsidR="006E24D4" w:rsidRPr="006E24D4" w:rsidRDefault="006E24D4" w:rsidP="006E24D4">
      <w:pPr>
        <w:numPr>
          <w:ilvl w:val="0"/>
          <w:numId w:val="19"/>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wspieranie działań mających na celu upamiętnianie wybitnych osób lub zdarzeń historycznych związanych z polskim dziedzictwem kulturowym za granicą</w:t>
      </w:r>
    </w:p>
    <w:p w14:paraId="44F5E03B" w14:textId="77777777" w:rsidR="006E24D4" w:rsidRPr="006E24D4" w:rsidRDefault="006E24D4" w:rsidP="006E24D4">
      <w:pPr>
        <w:numPr>
          <w:ilvl w:val="0"/>
          <w:numId w:val="19"/>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wspieranie zaangażowania społecznego w ochronę materialnych obiektów polskiego dziedzictwa kulturowego pozostającego poza granicami kraju</w:t>
      </w:r>
    </w:p>
    <w:p w14:paraId="27A823DB" w14:textId="77777777" w:rsidR="006E24D4" w:rsidRPr="006E24D4" w:rsidRDefault="006E24D4" w:rsidP="006E24D4">
      <w:pPr>
        <w:numPr>
          <w:ilvl w:val="0"/>
          <w:numId w:val="19"/>
        </w:numPr>
        <w:spacing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lastRenderedPageBreak/>
        <w:t>kontynuacja wsparcia w zakresie utrzymania infrastruktury polonijnej w miejscach, w których istnieje realne zapotrzebowanie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78745C07" w14:textId="77777777" w:rsidR="006E24D4" w:rsidRPr="006E24D4" w:rsidRDefault="006E24D4" w:rsidP="006E24D4">
      <w:pPr>
        <w:numPr>
          <w:ilvl w:val="0"/>
          <w:numId w:val="19"/>
        </w:numPr>
        <w:spacing w:before="160" w:after="160"/>
        <w:jc w:val="both"/>
        <w:textAlignment w:val="baseline"/>
        <w:rPr>
          <w:rFonts w:ascii="Lato" w:eastAsia="Times New Roman" w:hAnsi="Lato" w:cs="Times New Roman"/>
          <w:color w:val="FF0000"/>
          <w:lang w:val="pl-PL" w:eastAsia="sv-SE"/>
        </w:rPr>
      </w:pPr>
      <w:r w:rsidRPr="006E24D4">
        <w:rPr>
          <w:rFonts w:ascii="Lato" w:eastAsia="Times New Roman" w:hAnsi="Lato" w:cs="Times New Roman"/>
          <w:color w:val="FF0000"/>
          <w:lang w:val="pl-PL" w:eastAsia="sv-SE"/>
        </w:rPr>
        <w:t>organizowanie wydarzeń kulturalnych promujących polskie dziedzictwo za granicą, przy współpracy z mediami polonijnymi w celu zwiększenia zasięgu i zaangażowania społeczności, w szczególności młodej Polonii</w:t>
      </w:r>
    </w:p>
    <w:p w14:paraId="22FB5FB9" w14:textId="77777777" w:rsidR="006E24D4" w:rsidRPr="006E24D4" w:rsidRDefault="006E24D4" w:rsidP="006E24D4">
      <w:pPr>
        <w:rPr>
          <w:rFonts w:ascii="Times New Roman" w:eastAsia="Times New Roman" w:hAnsi="Times New Roman" w:cs="Times New Roman"/>
          <w:color w:val="000000"/>
          <w:lang w:val="pl-PL" w:eastAsia="sv-SE"/>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158E9580"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3F455" w14:textId="77777777" w:rsidR="006E24D4" w:rsidRPr="006E24D4" w:rsidRDefault="006E24D4" w:rsidP="006E24D4">
            <w:pPr>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u w:val="single"/>
                <w:lang w:val="pl-PL" w:eastAsia="sv-SE"/>
              </w:rPr>
              <w:t>Jednostki odpowiedzialne: </w:t>
            </w:r>
          </w:p>
          <w:p w14:paraId="6711163A" w14:textId="77777777" w:rsidR="006E24D4" w:rsidRPr="006E24D4" w:rsidRDefault="006E24D4" w:rsidP="006E24D4">
            <w:pPr>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t xml:space="preserve">Ministerstwo Spraw Zagranicznych, Ministerstwo Kultury i Dziedzictwa Narodowego wraz z instytucjami nadzorowanymi: Narodowym Instytutem Polskiego Dziedzictwa Kulturowego za Granicą „Polonika” oraz Instytutem Biblioteka Polska w Paryżu, Urząd ds. Kombatantów i Osób Represjonowanych we współdziałaniu z Ministerstwem Rodziny, Pracy i Polityki Społecznej, </w:t>
            </w:r>
            <w:proofErr w:type="spellStart"/>
            <w:r w:rsidRPr="006E24D4">
              <w:rPr>
                <w:rFonts w:ascii="Lato" w:eastAsia="Times New Roman" w:hAnsi="Lato" w:cs="Times New Roman"/>
                <w:i/>
                <w:iCs/>
                <w:color w:val="000000"/>
                <w:lang w:val="pl-PL" w:eastAsia="sv-SE"/>
              </w:rPr>
              <w:t>IPN</w:t>
            </w:r>
            <w:proofErr w:type="spellEnd"/>
            <w:r w:rsidRPr="006E24D4">
              <w:rPr>
                <w:rFonts w:ascii="Lato" w:eastAsia="Times New Roman" w:hAnsi="Lato" w:cs="Times New Roman"/>
                <w:i/>
                <w:iCs/>
                <w:color w:val="000000"/>
                <w:lang w:val="pl-PL" w:eastAsia="sv-SE"/>
              </w:rPr>
              <w:t>, w koordynacji z Senatem RP </w:t>
            </w:r>
          </w:p>
        </w:tc>
      </w:tr>
    </w:tbl>
    <w:p w14:paraId="1A0A0E98" w14:textId="77777777" w:rsidR="006E24D4" w:rsidRPr="006E24D4" w:rsidRDefault="006E24D4" w:rsidP="006E24D4">
      <w:pPr>
        <w:rPr>
          <w:rFonts w:ascii="Times New Roman" w:eastAsia="Times New Roman" w:hAnsi="Times New Roman" w:cs="Times New Roman"/>
          <w:color w:val="000000"/>
          <w:lang w:val="pl-PL" w:eastAsia="sv-SE"/>
        </w:rPr>
      </w:pPr>
    </w:p>
    <w:p w14:paraId="0EDE8E73" w14:textId="77777777" w:rsidR="006E24D4" w:rsidRPr="006E24D4" w:rsidRDefault="006E24D4" w:rsidP="006E24D4">
      <w:pPr>
        <w:numPr>
          <w:ilvl w:val="0"/>
          <w:numId w:val="20"/>
        </w:numPr>
        <w:spacing w:after="160"/>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 xml:space="preserve">Wsparcie </w:t>
      </w:r>
      <w:proofErr w:type="spellStart"/>
      <w:r w:rsidRPr="006E24D4">
        <w:rPr>
          <w:rFonts w:ascii="Lato" w:eastAsia="Times New Roman" w:hAnsi="Lato" w:cs="Times New Roman"/>
          <w:b/>
          <w:bCs/>
          <w:color w:val="000000"/>
          <w:lang w:val="pl-PL" w:eastAsia="sv-SE"/>
        </w:rPr>
        <w:t>społeczno</w:t>
      </w:r>
      <w:proofErr w:type="spellEnd"/>
      <w:r w:rsidRPr="006E24D4">
        <w:rPr>
          <w:rFonts w:ascii="Lato" w:eastAsia="Times New Roman" w:hAnsi="Lato" w:cs="Times New Roman"/>
          <w:b/>
          <w:bCs/>
          <w:color w:val="000000"/>
          <w:lang w:val="pl-PL" w:eastAsia="sv-SE"/>
        </w:rPr>
        <w:t xml:space="preserve"> – humanitarne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28A6D0F3"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B9238"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sz w:val="22"/>
                <w:szCs w:val="22"/>
                <w:u w:val="single"/>
                <w:lang w:val="pl-PL" w:eastAsia="sv-SE"/>
              </w:rPr>
              <w:t>Kontekst:</w:t>
            </w:r>
          </w:p>
          <w:p w14:paraId="55F529E9"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sz w:val="22"/>
                <w:szCs w:val="22"/>
                <w:lang w:val="pl-PL" w:eastAsia="sv-SE"/>
              </w:rPr>
              <w:t>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gdzie usługi medyczne czy innego rodzaju wsparcie są słabiej dostępne. </w:t>
            </w:r>
          </w:p>
          <w:p w14:paraId="3955B8FF"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sz w:val="22"/>
                <w:szCs w:val="22"/>
                <w:lang w:val="pl-PL" w:eastAsia="sv-SE"/>
              </w:rPr>
              <w:t>Jednocześnie w niektórych krajach Europy Zachodniej (duże skupiska miejskie w RFN, 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22AACA9A" w14:textId="77777777" w:rsidR="006E24D4" w:rsidRPr="006E24D4" w:rsidRDefault="006E24D4" w:rsidP="006E24D4">
      <w:pPr>
        <w:numPr>
          <w:ilvl w:val="0"/>
          <w:numId w:val="21"/>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opracowanie nowych instrumentów wsparcia i pomocy osobom polskiego pochodzenia doświadczających ubóstwa i wykluczenia, w szczególności działań o charakterze humanitarnym (opieka medyczna i psychologiczna, rehabilitacja, pomoc żywnościowa)</w:t>
      </w:r>
    </w:p>
    <w:p w14:paraId="0D2B4500" w14:textId="77777777" w:rsidR="006E24D4" w:rsidRPr="006E24D4" w:rsidRDefault="006E24D4" w:rsidP="006E24D4">
      <w:pPr>
        <w:numPr>
          <w:ilvl w:val="0"/>
          <w:numId w:val="21"/>
        </w:numPr>
        <w:spacing w:before="160" w:after="160"/>
        <w:ind w:left="717"/>
        <w:jc w:val="both"/>
        <w:textAlignment w:val="baseline"/>
        <w:rPr>
          <w:rFonts w:ascii="Lato" w:eastAsia="Times New Roman" w:hAnsi="Lato" w:cs="Times New Roman"/>
          <w:color w:val="FF0000"/>
          <w:lang w:val="pl-PL" w:eastAsia="sv-SE"/>
        </w:rPr>
      </w:pPr>
      <w:r w:rsidRPr="006E24D4">
        <w:rPr>
          <w:rFonts w:ascii="Lato" w:eastAsia="Times New Roman" w:hAnsi="Lato" w:cs="Times New Roman"/>
          <w:color w:val="FF0000"/>
          <w:lang w:val="pl-PL" w:eastAsia="sv-SE"/>
        </w:rPr>
        <w:t>wykorzystanie mediów polonijnych jako platformy do informowania o dostępnych programach wsparcia dla osób polskiego pochodzenia, w tym pomocy humanitarnej, medycznej, psychologicznej i rehabilitacyjnej</w:t>
      </w:r>
    </w:p>
    <w:p w14:paraId="5002B650" w14:textId="77777777" w:rsidR="006E24D4" w:rsidRPr="006E24D4" w:rsidRDefault="006E24D4" w:rsidP="006E24D4">
      <w:pPr>
        <w:numPr>
          <w:ilvl w:val="0"/>
          <w:numId w:val="21"/>
        </w:numPr>
        <w:spacing w:before="160"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 xml:space="preserve">monitorowanie sytuacji wykluczonych społecznie Polaków zamieszkujących za granicą, ze szczególnym uwzględnieniem osób w kryzysie bezdomności, w tym bezdomności długotrwałej, przygotowanie kompleksowej reakcji państwa, w </w:t>
      </w:r>
      <w:r w:rsidRPr="006E24D4">
        <w:rPr>
          <w:rFonts w:ascii="Lato" w:eastAsia="Times New Roman" w:hAnsi="Lato" w:cs="Times New Roman"/>
          <w:color w:val="000000"/>
          <w:lang w:val="pl-PL" w:eastAsia="sv-SE"/>
        </w:rPr>
        <w:lastRenderedPageBreak/>
        <w:t>sytuacji, gdy zjawiska takie nabierają masowego wymiaru, w tym w zakresie potencjalnego powrotu do Polski</w:t>
      </w:r>
    </w:p>
    <w:p w14:paraId="13190670" w14:textId="77777777" w:rsidR="006E24D4" w:rsidRPr="006E24D4" w:rsidRDefault="006E24D4" w:rsidP="006E24D4">
      <w:pPr>
        <w:numPr>
          <w:ilvl w:val="0"/>
          <w:numId w:val="21"/>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 xml:space="preserve">przeciwdziałanie porwaniom rodzicielskim oraz upowszechnianie informacji 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hyperlink r:id="rId6" w:history="1">
        <w:r w:rsidRPr="006E24D4">
          <w:rPr>
            <w:rFonts w:ascii="Lato" w:eastAsia="Times New Roman" w:hAnsi="Lato" w:cs="Times New Roman"/>
            <w:color w:val="0563C1"/>
            <w:sz w:val="20"/>
            <w:szCs w:val="20"/>
            <w:u w:val="single"/>
            <w:lang w:val="pl-PL" w:eastAsia="sv-SE"/>
          </w:rPr>
          <w:t>INFORMACJA O SPOSOBIE ZŁOŻENIA WNIOSKU O POWRÓT DZIECKA UPROWADZONEGO ZA GRANICĘ ORAZ WNIOSKU O KONTAKTY</w:t>
        </w:r>
      </w:hyperlink>
      <w:r w:rsidRPr="006E24D4">
        <w:rPr>
          <w:rFonts w:ascii="Lato" w:eastAsia="Times New Roman" w:hAnsi="Lato" w:cs="Times New Roman"/>
          <w:color w:val="000000"/>
          <w:sz w:val="20"/>
          <w:szCs w:val="20"/>
          <w:lang w:val="pl-PL" w:eastAsia="sv-SE"/>
        </w:rPr>
        <w:t> </w:t>
      </w:r>
    </w:p>
    <w:p w14:paraId="4218B554" w14:textId="77777777" w:rsidR="006E24D4" w:rsidRPr="006E24D4" w:rsidRDefault="006E24D4" w:rsidP="006E24D4">
      <w:pPr>
        <w:numPr>
          <w:ilvl w:val="0"/>
          <w:numId w:val="21"/>
        </w:numPr>
        <w:spacing w:after="160"/>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zapewnianie materialnego wsparcia i należnego szacunku polskim kombatantom, działaczom antykomunistycznej opozycji i osobom represjonowanym z zagranicy oraz realizacja programów upamiętniających walki Polaków o niepodległość i ofiary represji reżimów totalitarnych</w:t>
      </w:r>
    </w:p>
    <w:p w14:paraId="48F12BA9" w14:textId="77777777" w:rsidR="006E24D4" w:rsidRPr="006E24D4" w:rsidRDefault="006E24D4" w:rsidP="006E24D4">
      <w:pPr>
        <w:rPr>
          <w:rFonts w:ascii="Times New Roman" w:eastAsia="Times New Roman" w:hAnsi="Times New Roman" w:cs="Times New Roman"/>
          <w:color w:val="000000"/>
          <w:lang w:val="pl-PL" w:eastAsia="sv-SE"/>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28CB7AF8"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4CB8F"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u w:val="single"/>
                <w:lang w:val="pl-PL" w:eastAsia="sv-SE"/>
              </w:rPr>
              <w:t>Jednostki odpowiedzialne: </w:t>
            </w:r>
          </w:p>
          <w:p w14:paraId="09A20CA3"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t>Ministerstwo Rodziny, Pracy i Polityki Społecznej, Ministerstwo Spraw Zagranicznych, w koordynacji z Senatem RP, Urząd do spraw Kombatantów i Osób Represjonowanych </w:t>
            </w:r>
          </w:p>
        </w:tc>
      </w:tr>
    </w:tbl>
    <w:p w14:paraId="213946F3" w14:textId="77777777" w:rsidR="006E24D4" w:rsidRPr="006E24D4" w:rsidRDefault="006E24D4" w:rsidP="006E24D4">
      <w:pPr>
        <w:rPr>
          <w:rFonts w:ascii="Times New Roman" w:eastAsia="Times New Roman" w:hAnsi="Times New Roman" w:cs="Times New Roman"/>
          <w:color w:val="000000"/>
          <w:lang w:val="pl-PL" w:eastAsia="sv-SE"/>
        </w:rPr>
      </w:pPr>
    </w:p>
    <w:p w14:paraId="2D639D5D"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Times New Roman" w:eastAsia="Times New Roman" w:hAnsi="Times New Roman" w:cs="Times New Roman"/>
          <w:color w:val="000000"/>
          <w:lang w:val="pl-PL" w:eastAsia="sv-SE"/>
        </w:rPr>
        <w:br/>
      </w:r>
    </w:p>
    <w:p w14:paraId="6198BE64" w14:textId="77777777" w:rsidR="006E24D4" w:rsidRPr="006E24D4" w:rsidRDefault="006E24D4" w:rsidP="006E24D4">
      <w:pPr>
        <w:numPr>
          <w:ilvl w:val="0"/>
          <w:numId w:val="22"/>
        </w:numPr>
        <w:spacing w:after="160"/>
        <w:jc w:val="both"/>
        <w:textAlignment w:val="baseline"/>
        <w:rPr>
          <w:rFonts w:ascii="Lato" w:eastAsia="Times New Roman" w:hAnsi="Lato" w:cs="Times New Roman"/>
          <w:b/>
          <w:bCs/>
          <w:color w:val="000000"/>
          <w:lang w:val="pl-PL" w:eastAsia="sv-SE"/>
        </w:rPr>
      </w:pPr>
      <w:r w:rsidRPr="006E24D4">
        <w:rPr>
          <w:rFonts w:ascii="Lato" w:eastAsia="Times New Roman" w:hAnsi="Lato" w:cs="Times New Roman"/>
          <w:b/>
          <w:bCs/>
          <w:color w:val="000000"/>
          <w:lang w:val="pl-PL" w:eastAsia="sv-SE"/>
        </w:rPr>
        <w:t>Aktywizowanie Polonii i Polaków za granicą do udziału w wyjazdach turystycznych do Polski, mających na celu zwiększenie ruchu turystycznego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4219C1FA"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CF8B7" w14:textId="77777777" w:rsidR="006E24D4" w:rsidRPr="006E24D4" w:rsidRDefault="006E24D4" w:rsidP="006E24D4">
            <w:pPr>
              <w:spacing w:before="120"/>
              <w:rPr>
                <w:rFonts w:ascii="Times New Roman" w:eastAsia="Times New Roman" w:hAnsi="Times New Roman" w:cs="Times New Roman"/>
                <w:lang w:val="pl-PL" w:eastAsia="sv-SE"/>
              </w:rPr>
            </w:pPr>
            <w:r w:rsidRPr="006E24D4">
              <w:rPr>
                <w:rFonts w:ascii="Lato" w:eastAsia="Times New Roman" w:hAnsi="Lato" w:cs="Times New Roman"/>
                <w:b/>
                <w:bCs/>
                <w:i/>
                <w:iCs/>
                <w:color w:val="000000"/>
                <w:sz w:val="22"/>
                <w:szCs w:val="22"/>
                <w:u w:val="single"/>
                <w:lang w:val="pl-PL" w:eastAsia="sv-SE"/>
              </w:rPr>
              <w:t>Kontekst: </w:t>
            </w:r>
          </w:p>
          <w:p w14:paraId="416E5E05"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sz w:val="22"/>
                <w:szCs w:val="22"/>
                <w:lang w:val="pl-PL" w:eastAsia="sv-SE"/>
              </w:rPr>
              <w:t>Polonia i Polacy zamieszkający poza granicami kraju są naturalnymi ambasadorami Polski, którzy mogą przekazywać informacje o atrakcyjności turystycznej Polski i możliwościach podróżowania do niej.</w:t>
            </w:r>
          </w:p>
        </w:tc>
      </w:tr>
    </w:tbl>
    <w:p w14:paraId="71337DB1" w14:textId="77777777" w:rsidR="006E24D4" w:rsidRPr="006E24D4" w:rsidRDefault="006E24D4" w:rsidP="006E24D4">
      <w:pPr>
        <w:numPr>
          <w:ilvl w:val="0"/>
          <w:numId w:val="23"/>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intensyfikacja współpracy Zagranicznych Ośrodków Polskiej Organizacji Turystycznej (</w:t>
      </w:r>
      <w:proofErr w:type="spellStart"/>
      <w:r w:rsidRPr="006E24D4">
        <w:rPr>
          <w:rFonts w:ascii="Lato" w:eastAsia="Times New Roman" w:hAnsi="Lato" w:cs="Times New Roman"/>
          <w:color w:val="000000"/>
          <w:lang w:val="pl-PL" w:eastAsia="sv-SE"/>
        </w:rPr>
        <w:t>ZOPOT</w:t>
      </w:r>
      <w:proofErr w:type="spellEnd"/>
      <w:r w:rsidRPr="006E24D4">
        <w:rPr>
          <w:rFonts w:ascii="Lato" w:eastAsia="Times New Roman" w:hAnsi="Lato" w:cs="Times New Roman"/>
          <w:color w:val="000000"/>
          <w:lang w:val="pl-PL" w:eastAsia="sv-SE"/>
        </w:rPr>
        <w:t>)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5F69E264" w14:textId="77777777" w:rsidR="006E24D4" w:rsidRPr="006E24D4" w:rsidRDefault="006E24D4" w:rsidP="006E24D4">
      <w:pPr>
        <w:numPr>
          <w:ilvl w:val="0"/>
          <w:numId w:val="23"/>
        </w:numPr>
        <w:spacing w:before="160" w:after="160"/>
        <w:ind w:left="717"/>
        <w:jc w:val="both"/>
        <w:textAlignment w:val="baseline"/>
        <w:rPr>
          <w:rFonts w:ascii="Lato" w:eastAsia="Times New Roman" w:hAnsi="Lato" w:cs="Times New Roman"/>
          <w:color w:val="000000"/>
          <w:lang w:val="pl-PL" w:eastAsia="sv-SE"/>
        </w:rPr>
      </w:pPr>
      <w:r w:rsidRPr="006E24D4">
        <w:rPr>
          <w:rFonts w:ascii="Lato" w:eastAsia="Times New Roman" w:hAnsi="Lato" w:cs="Times New Roman"/>
          <w:color w:val="000000"/>
          <w:lang w:val="pl-PL" w:eastAsia="sv-SE"/>
        </w:rPr>
        <w:t>zwiększenie możliwości dotarcia z komunikatem promocyjnym adresowanym do środowisk polonijnych w postaci współorganizacji i współfinansowania organizacji wystaw, stoisk, prezentacji, reklamy w mediach skierowanych do Polonii i Polaków mieszkających za granicą</w:t>
      </w:r>
    </w:p>
    <w:p w14:paraId="7C1EF02A" w14:textId="77777777" w:rsidR="006E24D4" w:rsidRPr="006E24D4" w:rsidRDefault="006E24D4" w:rsidP="006E24D4">
      <w:pPr>
        <w:numPr>
          <w:ilvl w:val="0"/>
          <w:numId w:val="23"/>
        </w:numPr>
        <w:spacing w:before="160" w:after="160"/>
        <w:ind w:left="717"/>
        <w:jc w:val="both"/>
        <w:textAlignment w:val="baseline"/>
        <w:rPr>
          <w:rFonts w:ascii="Lato" w:eastAsia="Times New Roman" w:hAnsi="Lato" w:cs="Times New Roman"/>
          <w:color w:val="FF0000"/>
          <w:lang w:val="pl-PL" w:eastAsia="sv-SE"/>
        </w:rPr>
      </w:pPr>
      <w:r w:rsidRPr="006E24D4">
        <w:rPr>
          <w:rFonts w:ascii="Lato" w:eastAsia="Times New Roman" w:hAnsi="Lato" w:cs="Times New Roman"/>
          <w:color w:val="FF0000"/>
          <w:lang w:val="pl-PL" w:eastAsia="sv-SE"/>
        </w:rPr>
        <w:t>tworzenie kampanii promocyjnych w mediach polonijnych w celu realizacji dedykowanych treści (artykułów, reportaży, audycji radiowych, programów telewizyjnych i podcastów), które prezentują atrakcje turystyczne Polski oraz mniej znane regiony o dużym potencjale turystycznym</w:t>
      </w:r>
    </w:p>
    <w:p w14:paraId="49F0734B" w14:textId="77777777" w:rsidR="006E24D4" w:rsidRPr="006E24D4" w:rsidRDefault="006E24D4" w:rsidP="006E24D4">
      <w:pPr>
        <w:rPr>
          <w:rFonts w:ascii="Times New Roman" w:eastAsia="Times New Roman" w:hAnsi="Times New Roman" w:cs="Times New Roman"/>
          <w:color w:val="000000"/>
          <w:lang w:val="pl-PL" w:eastAsia="sv-SE"/>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6E24D4" w:rsidRPr="006E24D4" w14:paraId="0B17AECF" w14:textId="77777777" w:rsidTr="006E24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3DDA3" w14:textId="77777777" w:rsidR="006E24D4" w:rsidRPr="006E24D4" w:rsidRDefault="006E24D4" w:rsidP="006E24D4">
            <w:pPr>
              <w:spacing w:before="120"/>
              <w:jc w:val="both"/>
              <w:rPr>
                <w:rFonts w:ascii="Times New Roman" w:eastAsia="Times New Roman" w:hAnsi="Times New Roman" w:cs="Times New Roman"/>
                <w:lang w:val="pl-PL" w:eastAsia="sv-SE"/>
              </w:rPr>
            </w:pPr>
            <w:r w:rsidRPr="006E24D4">
              <w:rPr>
                <w:rFonts w:ascii="Lato" w:eastAsia="Times New Roman" w:hAnsi="Lato" w:cs="Times New Roman"/>
                <w:b/>
                <w:bCs/>
                <w:i/>
                <w:iCs/>
                <w:color w:val="000000"/>
                <w:u w:val="single"/>
                <w:lang w:val="pl-PL" w:eastAsia="sv-SE"/>
              </w:rPr>
              <w:lastRenderedPageBreak/>
              <w:t>Jednostki odpowiedzialne: </w:t>
            </w:r>
          </w:p>
          <w:p w14:paraId="65DA8470" w14:textId="77777777" w:rsidR="006E24D4" w:rsidRPr="006E24D4" w:rsidRDefault="006E24D4" w:rsidP="006E24D4">
            <w:pPr>
              <w:spacing w:after="120"/>
              <w:jc w:val="both"/>
              <w:rPr>
                <w:rFonts w:ascii="Times New Roman" w:eastAsia="Times New Roman" w:hAnsi="Times New Roman" w:cs="Times New Roman"/>
                <w:lang w:val="pl-PL" w:eastAsia="sv-SE"/>
              </w:rPr>
            </w:pPr>
            <w:r w:rsidRPr="006E24D4">
              <w:rPr>
                <w:rFonts w:ascii="Lato" w:eastAsia="Times New Roman" w:hAnsi="Lato" w:cs="Times New Roman"/>
                <w:i/>
                <w:iCs/>
                <w:color w:val="000000"/>
                <w:lang w:val="pl-PL" w:eastAsia="sv-SE"/>
              </w:rPr>
              <w:t xml:space="preserve">Polska Organizacja Turystyczna, Ministerstwo Kultury i Dziedzictwa </w:t>
            </w:r>
            <w:proofErr w:type="gramStart"/>
            <w:r w:rsidRPr="006E24D4">
              <w:rPr>
                <w:rFonts w:ascii="Lato" w:eastAsia="Times New Roman" w:hAnsi="Lato" w:cs="Times New Roman"/>
                <w:i/>
                <w:iCs/>
                <w:color w:val="000000"/>
                <w:lang w:val="pl-PL" w:eastAsia="sv-SE"/>
              </w:rPr>
              <w:t>Narodowego,  Ministerstwo</w:t>
            </w:r>
            <w:proofErr w:type="gramEnd"/>
            <w:r w:rsidRPr="006E24D4">
              <w:rPr>
                <w:rFonts w:ascii="Lato" w:eastAsia="Times New Roman" w:hAnsi="Lato" w:cs="Times New Roman"/>
                <w:i/>
                <w:iCs/>
                <w:color w:val="000000"/>
                <w:lang w:val="pl-PL" w:eastAsia="sv-SE"/>
              </w:rPr>
              <w:t xml:space="preserve"> Spraw Zagranicznych w koordynacji z Senatem RP</w:t>
            </w:r>
          </w:p>
        </w:tc>
      </w:tr>
    </w:tbl>
    <w:p w14:paraId="2699E0D1" w14:textId="77777777" w:rsidR="006E24D4" w:rsidRPr="006E24D4" w:rsidRDefault="006E24D4" w:rsidP="006E24D4">
      <w:pPr>
        <w:rPr>
          <w:rFonts w:ascii="Times New Roman" w:eastAsia="Times New Roman" w:hAnsi="Times New Roman" w:cs="Times New Roman"/>
          <w:color w:val="000000"/>
          <w:lang w:val="pl-PL" w:eastAsia="sv-SE"/>
        </w:rPr>
      </w:pPr>
    </w:p>
    <w:p w14:paraId="78526C71" w14:textId="77777777" w:rsidR="006E24D4" w:rsidRPr="006E24D4" w:rsidRDefault="006E24D4" w:rsidP="006E24D4">
      <w:pPr>
        <w:spacing w:after="160"/>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sz w:val="28"/>
          <w:szCs w:val="28"/>
          <w:lang w:val="pl-PL" w:eastAsia="sv-SE"/>
        </w:rPr>
        <w:t>Proponowane zmiany legislacyjne</w:t>
      </w:r>
    </w:p>
    <w:p w14:paraId="0D1725F0" w14:textId="77777777" w:rsidR="006E24D4" w:rsidRPr="006E24D4" w:rsidRDefault="006E24D4" w:rsidP="006E24D4">
      <w:pPr>
        <w:numPr>
          <w:ilvl w:val="0"/>
          <w:numId w:val="24"/>
        </w:numPr>
        <w:jc w:val="both"/>
        <w:textAlignment w:val="baseline"/>
        <w:rPr>
          <w:rFonts w:ascii="Lato" w:eastAsia="Times New Roman" w:hAnsi="Lato" w:cs="Times New Roman"/>
          <w:color w:val="000000"/>
          <w:lang w:val="pl-PL" w:eastAsia="sv-SE"/>
        </w:rPr>
      </w:pPr>
      <w:r w:rsidRPr="006E24D4">
        <w:rPr>
          <w:rFonts w:ascii="Lato" w:eastAsia="Times New Roman" w:hAnsi="Lato" w:cs="Times New Roman"/>
          <w:b/>
          <w:bCs/>
          <w:color w:val="000000"/>
          <w:lang w:val="pl-PL" w:eastAsia="sv-SE"/>
        </w:rPr>
        <w:t>Ustawa o Karcie Polaka</w:t>
      </w:r>
      <w:r w:rsidRPr="006E24D4">
        <w:rPr>
          <w:rFonts w:ascii="Lato" w:eastAsia="Times New Roman" w:hAnsi="Lato" w:cs="Times New Roman"/>
          <w:color w:val="000000"/>
          <w:lang w:val="pl-PL" w:eastAsia="sv-SE"/>
        </w:rPr>
        <w:t xml:space="preserve"> – przegląd przepisów pod kątem wyeliminowania przypadków nadużyć w procesie przyznawania Kart Polaka, w szczególności polegających na posługiwaniu się przez wnioskodawców sfałszowanymi dokumentami potwierdzającymi polskie pochodzenie. </w:t>
      </w:r>
      <w:proofErr w:type="gramStart"/>
      <w:r w:rsidRPr="006E24D4">
        <w:rPr>
          <w:rFonts w:ascii="Lato" w:eastAsia="Times New Roman" w:hAnsi="Lato" w:cs="Times New Roman"/>
          <w:color w:val="000000"/>
          <w:lang w:val="pl-PL" w:eastAsia="sv-SE"/>
        </w:rPr>
        <w:t>Jako,</w:t>
      </w:r>
      <w:proofErr w:type="gramEnd"/>
      <w:r w:rsidRPr="006E24D4">
        <w:rPr>
          <w:rFonts w:ascii="Lato" w:eastAsia="Times New Roman" w:hAnsi="Lato" w:cs="Times New Roman"/>
          <w:color w:val="000000"/>
          <w:lang w:val="pl-PL" w:eastAsia="sv-SE"/>
        </w:rPr>
        <w:t xml:space="preserve">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4C171778"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Times New Roman" w:eastAsia="Times New Roman" w:hAnsi="Times New Roman" w:cs="Times New Roman"/>
          <w:color w:val="000000"/>
          <w:lang w:val="pl-PL" w:eastAsia="sv-SE"/>
        </w:rPr>
        <w:br/>
      </w:r>
    </w:p>
    <w:p w14:paraId="2CEC21AC" w14:textId="77777777" w:rsidR="006E24D4" w:rsidRPr="006E24D4" w:rsidRDefault="006E24D4" w:rsidP="006E24D4">
      <w:pPr>
        <w:numPr>
          <w:ilvl w:val="0"/>
          <w:numId w:val="25"/>
        </w:numPr>
        <w:jc w:val="both"/>
        <w:textAlignment w:val="baseline"/>
        <w:rPr>
          <w:rFonts w:ascii="Lato" w:eastAsia="Times New Roman" w:hAnsi="Lato" w:cs="Times New Roman"/>
          <w:color w:val="000000"/>
          <w:lang w:val="pl-PL" w:eastAsia="sv-SE"/>
        </w:rPr>
      </w:pPr>
      <w:r w:rsidRPr="006E24D4">
        <w:rPr>
          <w:rFonts w:ascii="Lato" w:eastAsia="Times New Roman" w:hAnsi="Lato" w:cs="Times New Roman"/>
          <w:b/>
          <w:bCs/>
          <w:color w:val="000000"/>
          <w:lang w:val="pl-PL" w:eastAsia="sv-SE"/>
        </w:rPr>
        <w:t>Ustawa o repatriacji</w:t>
      </w:r>
      <w:r w:rsidRPr="006E24D4">
        <w:rPr>
          <w:rFonts w:ascii="Lato" w:eastAsia="Times New Roman" w:hAnsi="Lato" w:cs="Times New Roman"/>
          <w:color w:val="000000"/>
          <w:lang w:val="pl-PL" w:eastAsia="sv-SE"/>
        </w:rPr>
        <w:t xml:space="preserve"> – przegląd toczących się postępowań repatriacyjnych pod kątem ich przyspieszenia, w tym określenia – z uwzględnieniem uwarunkowań budżetowych – dostępnych możliwości i terminu zakończenia rozpoczętych procedur, a także przyjęcia wniosków od osób zainteresowanych jeszcze 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pod kątem kryteriów geograficznych, jak i podmiotów) oraz - tak jak w przypadku ustawy o Karcie Polaka - zapobiegania nadużyciom i oszustwom. </w:t>
      </w:r>
    </w:p>
    <w:p w14:paraId="79D49D78" w14:textId="77777777" w:rsidR="006E24D4" w:rsidRPr="006E24D4" w:rsidRDefault="006E24D4" w:rsidP="006E24D4">
      <w:pPr>
        <w:rPr>
          <w:rFonts w:ascii="Times New Roman" w:eastAsia="Times New Roman" w:hAnsi="Times New Roman" w:cs="Times New Roman"/>
          <w:color w:val="000000"/>
          <w:lang w:val="pl-PL" w:eastAsia="sv-SE"/>
        </w:rPr>
      </w:pPr>
      <w:r w:rsidRPr="006E24D4">
        <w:rPr>
          <w:rFonts w:ascii="Times New Roman" w:eastAsia="Times New Roman" w:hAnsi="Times New Roman" w:cs="Times New Roman"/>
          <w:color w:val="000000"/>
          <w:lang w:val="pl-PL" w:eastAsia="sv-SE"/>
        </w:rPr>
        <w:br/>
      </w:r>
    </w:p>
    <w:p w14:paraId="6CAA0A90" w14:textId="77777777" w:rsidR="006E24D4" w:rsidRPr="006E24D4" w:rsidRDefault="006E24D4" w:rsidP="006E24D4">
      <w:pPr>
        <w:numPr>
          <w:ilvl w:val="0"/>
          <w:numId w:val="26"/>
        </w:numPr>
        <w:spacing w:after="160"/>
        <w:jc w:val="both"/>
        <w:textAlignment w:val="baseline"/>
        <w:rPr>
          <w:rFonts w:ascii="Lato" w:eastAsia="Times New Roman" w:hAnsi="Lato" w:cs="Times New Roman"/>
          <w:i/>
          <w:iCs/>
          <w:color w:val="000000"/>
          <w:lang w:val="pl-PL" w:eastAsia="sv-SE"/>
        </w:rPr>
      </w:pPr>
      <w:r w:rsidRPr="006E24D4">
        <w:rPr>
          <w:rFonts w:ascii="Lato" w:eastAsia="Times New Roman" w:hAnsi="Lato" w:cs="Times New Roman"/>
          <w:b/>
          <w:bCs/>
          <w:color w:val="000000"/>
          <w:lang w:val="pl-PL" w:eastAsia="sv-SE"/>
        </w:rPr>
        <w:t xml:space="preserve">Ustawa o obywatelstwie – </w:t>
      </w:r>
      <w:r w:rsidRPr="006E24D4">
        <w:rPr>
          <w:rFonts w:ascii="Lato" w:eastAsia="Times New Roman" w:hAnsi="Lato" w:cs="Times New Roman"/>
          <w:color w:val="000000"/>
          <w:lang w:val="pl-PL" w:eastAsia="sv-SE"/>
        </w:rPr>
        <w:t>w kontekście szerszej nowelizacji ustawy o obywatelstwie, zapowiedzianej w ramach realizacji Strategii migracyjnej, przewiduje się odejście od bardzo liberalnych zasad nabywania obywatelstwa polskiego. Z uwagi na fakt, że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52642DD3"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b/>
          <w:bCs/>
          <w:color w:val="000000"/>
          <w:sz w:val="28"/>
          <w:szCs w:val="28"/>
          <w:lang w:val="pl-PL" w:eastAsia="sv-SE"/>
        </w:rPr>
        <w:t>Harmonogram i ramy realizacji strategii</w:t>
      </w:r>
    </w:p>
    <w:p w14:paraId="683EC6B3"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 xml:space="preserve">Koordynujące politykę polonijną Ministerstwo Spraw Zagranicznych zapewni operacyjne wdrażanie celów i założeń strategii. Koordynacja będzie realizowana poprzez uzgodnienia na forum Międzyresortowego Zespołu do Spraw Polonii i Polaków oraz współpracę z Komisją Łączności z Polonią i Polakami za </w:t>
      </w:r>
      <w:proofErr w:type="gramStart"/>
      <w:r w:rsidRPr="006E24D4">
        <w:rPr>
          <w:rFonts w:ascii="Lato" w:eastAsia="Times New Roman" w:hAnsi="Lato" w:cs="Times New Roman"/>
          <w:color w:val="000000"/>
          <w:lang w:val="pl-PL" w:eastAsia="sv-SE"/>
        </w:rPr>
        <w:t>Granicą  Sejmu</w:t>
      </w:r>
      <w:proofErr w:type="gramEnd"/>
      <w:r w:rsidRPr="006E24D4">
        <w:rPr>
          <w:rFonts w:ascii="Lato" w:eastAsia="Times New Roman" w:hAnsi="Lato" w:cs="Times New Roman"/>
          <w:color w:val="000000"/>
          <w:lang w:val="pl-PL" w:eastAsia="sv-SE"/>
        </w:rPr>
        <w:t xml:space="preserve"> i Komisją Spraw Emigracji i Łączności z Polakami za Granicą Senatu. </w:t>
      </w:r>
    </w:p>
    <w:p w14:paraId="4B59B311"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 xml:space="preserve">Monitorowanie wdrażania Strategii będzie odbywać się w drodze cyklicznych przeglądów podejmowanych działań (dwa razy do roku) oraz dorocznego raportowania </w:t>
      </w:r>
      <w:r w:rsidRPr="006E24D4">
        <w:rPr>
          <w:rFonts w:ascii="Lato" w:eastAsia="Times New Roman" w:hAnsi="Lato" w:cs="Times New Roman"/>
          <w:color w:val="000000"/>
          <w:lang w:val="pl-PL" w:eastAsia="sv-SE"/>
        </w:rPr>
        <w:lastRenderedPageBreak/>
        <w:t>w IV kwartale lat 2025-2030 przez instytucje uczestniczące w pracach Międzyresortowego Zespołu, to jest: resorty spraw zagranicznych, obrony narodowej, sprawiedliwości, finansów, rodziny i polityki społecznej, infrastruktury, sportu i turystyki, edukacji narodowej, rozwoju i technologii, spraw wewnętrznych i administracji, nauki i szkolnictwa wyższego oraz kultury i dziedzictwa narodowego, jak również Szefa Urzędu do Spraw Kombatantów i Osób Represjonowanych oraz Prezesa Główny Urzędu Statystycznego. </w:t>
      </w:r>
    </w:p>
    <w:p w14:paraId="4B377E8C" w14:textId="77777777" w:rsidR="006E24D4" w:rsidRPr="006E24D4" w:rsidRDefault="006E24D4" w:rsidP="006E24D4">
      <w:pPr>
        <w:spacing w:after="160"/>
        <w:jc w:val="both"/>
        <w:rPr>
          <w:rFonts w:ascii="Times New Roman" w:eastAsia="Times New Roman" w:hAnsi="Times New Roman" w:cs="Times New Roman"/>
          <w:color w:val="000000"/>
          <w:lang w:val="pl-PL" w:eastAsia="sv-SE"/>
        </w:rPr>
      </w:pPr>
      <w:r w:rsidRPr="006E24D4">
        <w:rPr>
          <w:rFonts w:ascii="Lato" w:eastAsia="Times New Roman" w:hAnsi="Lato" w:cs="Times New Roman"/>
          <w:color w:val="000000"/>
          <w:lang w:val="pl-PL" w:eastAsia="sv-SE"/>
        </w:rPr>
        <w:t xml:space="preserve">W 2027 roku planowane jest dokonanie śródokresowej analizy ogólnych uwarunkowań oraz oceny realizacji niniejszej strategii. Przegląd implementacyjny powinien sformułować wnioski </w:t>
      </w:r>
      <w:proofErr w:type="gramStart"/>
      <w:r w:rsidRPr="006E24D4">
        <w:rPr>
          <w:rFonts w:ascii="Lato" w:eastAsia="Times New Roman" w:hAnsi="Lato" w:cs="Times New Roman"/>
          <w:color w:val="000000"/>
          <w:lang w:val="pl-PL" w:eastAsia="sv-SE"/>
        </w:rPr>
        <w:t>odnośnie</w:t>
      </w:r>
      <w:proofErr w:type="gramEnd"/>
      <w:r w:rsidRPr="006E24D4">
        <w:rPr>
          <w:rFonts w:ascii="Lato" w:eastAsia="Times New Roman" w:hAnsi="Lato" w:cs="Times New Roman"/>
          <w:color w:val="000000"/>
          <w:lang w:val="pl-PL" w:eastAsia="sv-SE"/>
        </w:rPr>
        <w:t xml:space="preserve"> efektywności polityki polonijnej rządu oraz jej dalszych celów.</w:t>
      </w:r>
    </w:p>
    <w:p w14:paraId="2AFEA5DD" w14:textId="77777777" w:rsidR="006E24D4" w:rsidRPr="006E24D4" w:rsidRDefault="006E24D4" w:rsidP="006E24D4">
      <w:pPr>
        <w:spacing w:after="240"/>
        <w:rPr>
          <w:rFonts w:ascii="Times New Roman" w:eastAsia="Times New Roman" w:hAnsi="Times New Roman" w:cs="Times New Roman"/>
          <w:lang w:val="pl-PL" w:eastAsia="sv-SE"/>
        </w:rPr>
      </w:pPr>
    </w:p>
    <w:p w14:paraId="062DE36F" w14:textId="77777777" w:rsidR="006E24D4" w:rsidRPr="006E24D4" w:rsidRDefault="006E24D4" w:rsidP="006E24D4">
      <w:pPr>
        <w:rPr>
          <w:rFonts w:ascii="Times New Roman" w:eastAsia="Times New Roman" w:hAnsi="Times New Roman" w:cs="Times New Roman"/>
          <w:lang w:val="pl-PL" w:eastAsia="sv-SE"/>
        </w:rPr>
      </w:pPr>
    </w:p>
    <w:p w14:paraId="11D1B5EC" w14:textId="77777777" w:rsidR="006E24D4" w:rsidRPr="006E24D4" w:rsidRDefault="006E24D4" w:rsidP="006E24D4">
      <w:pPr>
        <w:pStyle w:val="Normalwebb"/>
        <w:shd w:val="clear" w:color="auto" w:fill="FFFFFF"/>
        <w:spacing w:before="0" w:beforeAutospacing="0" w:after="200" w:afterAutospacing="0"/>
        <w:textAlignment w:val="baseline"/>
        <w:rPr>
          <w:rFonts w:ascii="Arial" w:hAnsi="Arial" w:cs="Arial"/>
          <w:color w:val="222222"/>
          <w:sz w:val="22"/>
          <w:szCs w:val="22"/>
          <w:lang w:val="pl-PL"/>
        </w:rPr>
      </w:pPr>
    </w:p>
    <w:p w14:paraId="2977A22E" w14:textId="77777777" w:rsidR="006E24D4" w:rsidRPr="006E24D4" w:rsidRDefault="006E24D4" w:rsidP="006E24D4">
      <w:pPr>
        <w:rPr>
          <w:lang w:val="pl-PL"/>
        </w:rPr>
      </w:pPr>
    </w:p>
    <w:p w14:paraId="2F992592" w14:textId="77777777" w:rsidR="006E24D4" w:rsidRPr="006E24D4" w:rsidRDefault="006E24D4">
      <w:pPr>
        <w:rPr>
          <w:lang w:val="pl-PL"/>
        </w:rPr>
      </w:pPr>
    </w:p>
    <w:sectPr w:rsidR="006E24D4" w:rsidRPr="006E2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381D"/>
    <w:multiLevelType w:val="multilevel"/>
    <w:tmpl w:val="DB40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1515C"/>
    <w:multiLevelType w:val="multilevel"/>
    <w:tmpl w:val="E810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549E9"/>
    <w:multiLevelType w:val="multilevel"/>
    <w:tmpl w:val="8DB83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B5E93"/>
    <w:multiLevelType w:val="multilevel"/>
    <w:tmpl w:val="FB42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6739B"/>
    <w:multiLevelType w:val="multilevel"/>
    <w:tmpl w:val="CA7ECD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B28C7"/>
    <w:multiLevelType w:val="multilevel"/>
    <w:tmpl w:val="358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20CED"/>
    <w:multiLevelType w:val="multilevel"/>
    <w:tmpl w:val="018C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17C5B"/>
    <w:multiLevelType w:val="multilevel"/>
    <w:tmpl w:val="FFCAA2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A94EFC"/>
    <w:multiLevelType w:val="multilevel"/>
    <w:tmpl w:val="E370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60FF8"/>
    <w:multiLevelType w:val="multilevel"/>
    <w:tmpl w:val="7DD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976BA"/>
    <w:multiLevelType w:val="multilevel"/>
    <w:tmpl w:val="215C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45E01"/>
    <w:multiLevelType w:val="multilevel"/>
    <w:tmpl w:val="4824F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4C4516"/>
    <w:multiLevelType w:val="multilevel"/>
    <w:tmpl w:val="432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45109"/>
    <w:multiLevelType w:val="multilevel"/>
    <w:tmpl w:val="379CEB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031055"/>
    <w:multiLevelType w:val="hybridMultilevel"/>
    <w:tmpl w:val="66E860BC"/>
    <w:lvl w:ilvl="0" w:tplc="94086630">
      <w:start w:val="3"/>
      <w:numFmt w:val="lowerLetter"/>
      <w:lvlText w:val="%1."/>
      <w:lvlJc w:val="left"/>
      <w:pPr>
        <w:tabs>
          <w:tab w:val="num" w:pos="720"/>
        </w:tabs>
        <w:ind w:left="720" w:hanging="360"/>
      </w:pPr>
    </w:lvl>
    <w:lvl w:ilvl="1" w:tplc="D7764132" w:tentative="1">
      <w:start w:val="1"/>
      <w:numFmt w:val="decimal"/>
      <w:lvlText w:val="%2."/>
      <w:lvlJc w:val="left"/>
      <w:pPr>
        <w:tabs>
          <w:tab w:val="num" w:pos="1440"/>
        </w:tabs>
        <w:ind w:left="1440" w:hanging="360"/>
      </w:pPr>
    </w:lvl>
    <w:lvl w:ilvl="2" w:tplc="A91E6AB2" w:tentative="1">
      <w:start w:val="1"/>
      <w:numFmt w:val="decimal"/>
      <w:lvlText w:val="%3."/>
      <w:lvlJc w:val="left"/>
      <w:pPr>
        <w:tabs>
          <w:tab w:val="num" w:pos="2160"/>
        </w:tabs>
        <w:ind w:left="2160" w:hanging="360"/>
      </w:pPr>
    </w:lvl>
    <w:lvl w:ilvl="3" w:tplc="C3229D14" w:tentative="1">
      <w:start w:val="1"/>
      <w:numFmt w:val="decimal"/>
      <w:lvlText w:val="%4."/>
      <w:lvlJc w:val="left"/>
      <w:pPr>
        <w:tabs>
          <w:tab w:val="num" w:pos="2880"/>
        </w:tabs>
        <w:ind w:left="2880" w:hanging="360"/>
      </w:pPr>
    </w:lvl>
    <w:lvl w:ilvl="4" w:tplc="6E44940A" w:tentative="1">
      <w:start w:val="1"/>
      <w:numFmt w:val="decimal"/>
      <w:lvlText w:val="%5."/>
      <w:lvlJc w:val="left"/>
      <w:pPr>
        <w:tabs>
          <w:tab w:val="num" w:pos="3600"/>
        </w:tabs>
        <w:ind w:left="3600" w:hanging="360"/>
      </w:pPr>
    </w:lvl>
    <w:lvl w:ilvl="5" w:tplc="C9BE1F9C" w:tentative="1">
      <w:start w:val="1"/>
      <w:numFmt w:val="decimal"/>
      <w:lvlText w:val="%6."/>
      <w:lvlJc w:val="left"/>
      <w:pPr>
        <w:tabs>
          <w:tab w:val="num" w:pos="4320"/>
        </w:tabs>
        <w:ind w:left="4320" w:hanging="360"/>
      </w:pPr>
    </w:lvl>
    <w:lvl w:ilvl="6" w:tplc="156045C0" w:tentative="1">
      <w:start w:val="1"/>
      <w:numFmt w:val="decimal"/>
      <w:lvlText w:val="%7."/>
      <w:lvlJc w:val="left"/>
      <w:pPr>
        <w:tabs>
          <w:tab w:val="num" w:pos="5040"/>
        </w:tabs>
        <w:ind w:left="5040" w:hanging="360"/>
      </w:pPr>
    </w:lvl>
    <w:lvl w:ilvl="7" w:tplc="5802B23A" w:tentative="1">
      <w:start w:val="1"/>
      <w:numFmt w:val="decimal"/>
      <w:lvlText w:val="%8."/>
      <w:lvlJc w:val="left"/>
      <w:pPr>
        <w:tabs>
          <w:tab w:val="num" w:pos="5760"/>
        </w:tabs>
        <w:ind w:left="5760" w:hanging="360"/>
      </w:pPr>
    </w:lvl>
    <w:lvl w:ilvl="8" w:tplc="F44208F4" w:tentative="1">
      <w:start w:val="1"/>
      <w:numFmt w:val="decimal"/>
      <w:lvlText w:val="%9."/>
      <w:lvlJc w:val="left"/>
      <w:pPr>
        <w:tabs>
          <w:tab w:val="num" w:pos="6480"/>
        </w:tabs>
        <w:ind w:left="6480" w:hanging="360"/>
      </w:pPr>
    </w:lvl>
  </w:abstractNum>
  <w:abstractNum w:abstractNumId="15" w15:restartNumberingAfterBreak="0">
    <w:nsid w:val="54226182"/>
    <w:multiLevelType w:val="multilevel"/>
    <w:tmpl w:val="E60AC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290F4C"/>
    <w:multiLevelType w:val="multilevel"/>
    <w:tmpl w:val="1B9C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8A0F3D"/>
    <w:multiLevelType w:val="hybridMultilevel"/>
    <w:tmpl w:val="A3687A0C"/>
    <w:lvl w:ilvl="0" w:tplc="9DF2CE0E">
      <w:start w:val="2"/>
      <w:numFmt w:val="lowerLetter"/>
      <w:lvlText w:val="%1."/>
      <w:lvlJc w:val="left"/>
      <w:pPr>
        <w:tabs>
          <w:tab w:val="num" w:pos="720"/>
        </w:tabs>
        <w:ind w:left="720" w:hanging="360"/>
      </w:pPr>
    </w:lvl>
    <w:lvl w:ilvl="1" w:tplc="6F0CAD02" w:tentative="1">
      <w:start w:val="1"/>
      <w:numFmt w:val="decimal"/>
      <w:lvlText w:val="%2."/>
      <w:lvlJc w:val="left"/>
      <w:pPr>
        <w:tabs>
          <w:tab w:val="num" w:pos="1440"/>
        </w:tabs>
        <w:ind w:left="1440" w:hanging="360"/>
      </w:pPr>
    </w:lvl>
    <w:lvl w:ilvl="2" w:tplc="D550075A" w:tentative="1">
      <w:start w:val="1"/>
      <w:numFmt w:val="decimal"/>
      <w:lvlText w:val="%3."/>
      <w:lvlJc w:val="left"/>
      <w:pPr>
        <w:tabs>
          <w:tab w:val="num" w:pos="2160"/>
        </w:tabs>
        <w:ind w:left="2160" w:hanging="360"/>
      </w:pPr>
    </w:lvl>
    <w:lvl w:ilvl="3" w:tplc="41360480" w:tentative="1">
      <w:start w:val="1"/>
      <w:numFmt w:val="decimal"/>
      <w:lvlText w:val="%4."/>
      <w:lvlJc w:val="left"/>
      <w:pPr>
        <w:tabs>
          <w:tab w:val="num" w:pos="2880"/>
        </w:tabs>
        <w:ind w:left="2880" w:hanging="360"/>
      </w:pPr>
    </w:lvl>
    <w:lvl w:ilvl="4" w:tplc="13E69DD0" w:tentative="1">
      <w:start w:val="1"/>
      <w:numFmt w:val="decimal"/>
      <w:lvlText w:val="%5."/>
      <w:lvlJc w:val="left"/>
      <w:pPr>
        <w:tabs>
          <w:tab w:val="num" w:pos="3600"/>
        </w:tabs>
        <w:ind w:left="3600" w:hanging="360"/>
      </w:pPr>
    </w:lvl>
    <w:lvl w:ilvl="5" w:tplc="AC0E03F8" w:tentative="1">
      <w:start w:val="1"/>
      <w:numFmt w:val="decimal"/>
      <w:lvlText w:val="%6."/>
      <w:lvlJc w:val="left"/>
      <w:pPr>
        <w:tabs>
          <w:tab w:val="num" w:pos="4320"/>
        </w:tabs>
        <w:ind w:left="4320" w:hanging="360"/>
      </w:pPr>
    </w:lvl>
    <w:lvl w:ilvl="6" w:tplc="9F1A25FA" w:tentative="1">
      <w:start w:val="1"/>
      <w:numFmt w:val="decimal"/>
      <w:lvlText w:val="%7."/>
      <w:lvlJc w:val="left"/>
      <w:pPr>
        <w:tabs>
          <w:tab w:val="num" w:pos="5040"/>
        </w:tabs>
        <w:ind w:left="5040" w:hanging="360"/>
      </w:pPr>
    </w:lvl>
    <w:lvl w:ilvl="7" w:tplc="6A663768" w:tentative="1">
      <w:start w:val="1"/>
      <w:numFmt w:val="decimal"/>
      <w:lvlText w:val="%8."/>
      <w:lvlJc w:val="left"/>
      <w:pPr>
        <w:tabs>
          <w:tab w:val="num" w:pos="5760"/>
        </w:tabs>
        <w:ind w:left="5760" w:hanging="360"/>
      </w:pPr>
    </w:lvl>
    <w:lvl w:ilvl="8" w:tplc="E398C35E" w:tentative="1">
      <w:start w:val="1"/>
      <w:numFmt w:val="decimal"/>
      <w:lvlText w:val="%9."/>
      <w:lvlJc w:val="left"/>
      <w:pPr>
        <w:tabs>
          <w:tab w:val="num" w:pos="6480"/>
        </w:tabs>
        <w:ind w:left="6480" w:hanging="360"/>
      </w:pPr>
    </w:lvl>
  </w:abstractNum>
  <w:abstractNum w:abstractNumId="18" w15:restartNumberingAfterBreak="0">
    <w:nsid w:val="65BB7B13"/>
    <w:multiLevelType w:val="multilevel"/>
    <w:tmpl w:val="95F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208C7"/>
    <w:multiLevelType w:val="multilevel"/>
    <w:tmpl w:val="B928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7A72B9"/>
    <w:multiLevelType w:val="multilevel"/>
    <w:tmpl w:val="C2B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97F2D"/>
    <w:multiLevelType w:val="multilevel"/>
    <w:tmpl w:val="7CAA1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BE23DE"/>
    <w:multiLevelType w:val="hybridMultilevel"/>
    <w:tmpl w:val="5510B11C"/>
    <w:lvl w:ilvl="0" w:tplc="19CE44EA">
      <w:start w:val="4"/>
      <w:numFmt w:val="lowerLetter"/>
      <w:lvlText w:val="%1."/>
      <w:lvlJc w:val="left"/>
      <w:pPr>
        <w:tabs>
          <w:tab w:val="num" w:pos="720"/>
        </w:tabs>
        <w:ind w:left="720" w:hanging="360"/>
      </w:pPr>
    </w:lvl>
    <w:lvl w:ilvl="1" w:tplc="19AAD354" w:tentative="1">
      <w:start w:val="1"/>
      <w:numFmt w:val="decimal"/>
      <w:lvlText w:val="%2."/>
      <w:lvlJc w:val="left"/>
      <w:pPr>
        <w:tabs>
          <w:tab w:val="num" w:pos="1440"/>
        </w:tabs>
        <w:ind w:left="1440" w:hanging="360"/>
      </w:pPr>
    </w:lvl>
    <w:lvl w:ilvl="2" w:tplc="CD58261C" w:tentative="1">
      <w:start w:val="1"/>
      <w:numFmt w:val="decimal"/>
      <w:lvlText w:val="%3."/>
      <w:lvlJc w:val="left"/>
      <w:pPr>
        <w:tabs>
          <w:tab w:val="num" w:pos="2160"/>
        </w:tabs>
        <w:ind w:left="2160" w:hanging="360"/>
      </w:pPr>
    </w:lvl>
    <w:lvl w:ilvl="3" w:tplc="7FCE8CF4" w:tentative="1">
      <w:start w:val="1"/>
      <w:numFmt w:val="decimal"/>
      <w:lvlText w:val="%4."/>
      <w:lvlJc w:val="left"/>
      <w:pPr>
        <w:tabs>
          <w:tab w:val="num" w:pos="2880"/>
        </w:tabs>
        <w:ind w:left="2880" w:hanging="360"/>
      </w:pPr>
    </w:lvl>
    <w:lvl w:ilvl="4" w:tplc="0CCC3CD6" w:tentative="1">
      <w:start w:val="1"/>
      <w:numFmt w:val="decimal"/>
      <w:lvlText w:val="%5."/>
      <w:lvlJc w:val="left"/>
      <w:pPr>
        <w:tabs>
          <w:tab w:val="num" w:pos="3600"/>
        </w:tabs>
        <w:ind w:left="3600" w:hanging="360"/>
      </w:pPr>
    </w:lvl>
    <w:lvl w:ilvl="5" w:tplc="6DC8316C" w:tentative="1">
      <w:start w:val="1"/>
      <w:numFmt w:val="decimal"/>
      <w:lvlText w:val="%6."/>
      <w:lvlJc w:val="left"/>
      <w:pPr>
        <w:tabs>
          <w:tab w:val="num" w:pos="4320"/>
        </w:tabs>
        <w:ind w:left="4320" w:hanging="360"/>
      </w:pPr>
    </w:lvl>
    <w:lvl w:ilvl="6" w:tplc="71D69F76" w:tentative="1">
      <w:start w:val="1"/>
      <w:numFmt w:val="decimal"/>
      <w:lvlText w:val="%7."/>
      <w:lvlJc w:val="left"/>
      <w:pPr>
        <w:tabs>
          <w:tab w:val="num" w:pos="5040"/>
        </w:tabs>
        <w:ind w:left="5040" w:hanging="360"/>
      </w:pPr>
    </w:lvl>
    <w:lvl w:ilvl="7" w:tplc="F814BCF0" w:tentative="1">
      <w:start w:val="1"/>
      <w:numFmt w:val="decimal"/>
      <w:lvlText w:val="%8."/>
      <w:lvlJc w:val="left"/>
      <w:pPr>
        <w:tabs>
          <w:tab w:val="num" w:pos="5760"/>
        </w:tabs>
        <w:ind w:left="5760" w:hanging="360"/>
      </w:pPr>
    </w:lvl>
    <w:lvl w:ilvl="8" w:tplc="EC202E24" w:tentative="1">
      <w:start w:val="1"/>
      <w:numFmt w:val="decimal"/>
      <w:lvlText w:val="%9."/>
      <w:lvlJc w:val="left"/>
      <w:pPr>
        <w:tabs>
          <w:tab w:val="num" w:pos="6480"/>
        </w:tabs>
        <w:ind w:left="6480" w:hanging="360"/>
      </w:pPr>
    </w:lvl>
  </w:abstractNum>
  <w:abstractNum w:abstractNumId="23" w15:restartNumberingAfterBreak="0">
    <w:nsid w:val="71774067"/>
    <w:multiLevelType w:val="multilevel"/>
    <w:tmpl w:val="EC7C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474CC"/>
    <w:multiLevelType w:val="multilevel"/>
    <w:tmpl w:val="FE94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17CFC"/>
    <w:multiLevelType w:val="multilevel"/>
    <w:tmpl w:val="45FC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505654">
    <w:abstractNumId w:val="6"/>
  </w:num>
  <w:num w:numId="2" w16cid:durableId="905260790">
    <w:abstractNumId w:val="19"/>
  </w:num>
  <w:num w:numId="3" w16cid:durableId="1773360334">
    <w:abstractNumId w:val="23"/>
  </w:num>
  <w:num w:numId="4" w16cid:durableId="320546341">
    <w:abstractNumId w:val="21"/>
    <w:lvlOverride w:ilvl="0">
      <w:lvl w:ilvl="0">
        <w:numFmt w:val="decimal"/>
        <w:lvlText w:val="%1."/>
        <w:lvlJc w:val="left"/>
      </w:lvl>
    </w:lvlOverride>
  </w:num>
  <w:num w:numId="5" w16cid:durableId="640618227">
    <w:abstractNumId w:val="3"/>
    <w:lvlOverride w:ilvl="0">
      <w:lvl w:ilvl="0">
        <w:numFmt w:val="lowerLetter"/>
        <w:lvlText w:val="%1."/>
        <w:lvlJc w:val="left"/>
      </w:lvl>
    </w:lvlOverride>
  </w:num>
  <w:num w:numId="6" w16cid:durableId="1808664048">
    <w:abstractNumId w:val="12"/>
  </w:num>
  <w:num w:numId="7" w16cid:durableId="1133445477">
    <w:abstractNumId w:val="17"/>
  </w:num>
  <w:num w:numId="8" w16cid:durableId="680354012">
    <w:abstractNumId w:val="9"/>
  </w:num>
  <w:num w:numId="9" w16cid:durableId="2032028071">
    <w:abstractNumId w:val="14"/>
  </w:num>
  <w:num w:numId="10" w16cid:durableId="325715549">
    <w:abstractNumId w:val="8"/>
  </w:num>
  <w:num w:numId="11" w16cid:durableId="1439567600">
    <w:abstractNumId w:val="22"/>
  </w:num>
  <w:num w:numId="12" w16cid:durableId="1581985749">
    <w:abstractNumId w:val="5"/>
  </w:num>
  <w:num w:numId="13" w16cid:durableId="343364201">
    <w:abstractNumId w:val="15"/>
    <w:lvlOverride w:ilvl="0">
      <w:lvl w:ilvl="0">
        <w:numFmt w:val="decimal"/>
        <w:lvlText w:val="%1."/>
        <w:lvlJc w:val="left"/>
      </w:lvl>
    </w:lvlOverride>
  </w:num>
  <w:num w:numId="14" w16cid:durableId="1709646779">
    <w:abstractNumId w:val="18"/>
  </w:num>
  <w:num w:numId="15" w16cid:durableId="1952400010">
    <w:abstractNumId w:val="2"/>
    <w:lvlOverride w:ilvl="0">
      <w:lvl w:ilvl="0">
        <w:numFmt w:val="decimal"/>
        <w:lvlText w:val="%1."/>
        <w:lvlJc w:val="left"/>
      </w:lvl>
    </w:lvlOverride>
  </w:num>
  <w:num w:numId="16" w16cid:durableId="1423261221">
    <w:abstractNumId w:val="20"/>
  </w:num>
  <w:num w:numId="17" w16cid:durableId="1651014809">
    <w:abstractNumId w:val="13"/>
    <w:lvlOverride w:ilvl="0">
      <w:lvl w:ilvl="0">
        <w:numFmt w:val="decimal"/>
        <w:lvlText w:val="%1."/>
        <w:lvlJc w:val="left"/>
      </w:lvl>
    </w:lvlOverride>
  </w:num>
  <w:num w:numId="18" w16cid:durableId="1844315021">
    <w:abstractNumId w:val="25"/>
  </w:num>
  <w:num w:numId="19" w16cid:durableId="1656446691">
    <w:abstractNumId w:val="24"/>
  </w:num>
  <w:num w:numId="20" w16cid:durableId="1999993643">
    <w:abstractNumId w:val="7"/>
    <w:lvlOverride w:ilvl="0">
      <w:lvl w:ilvl="0">
        <w:numFmt w:val="decimal"/>
        <w:lvlText w:val="%1."/>
        <w:lvlJc w:val="left"/>
      </w:lvl>
    </w:lvlOverride>
  </w:num>
  <w:num w:numId="21" w16cid:durableId="545608640">
    <w:abstractNumId w:val="10"/>
  </w:num>
  <w:num w:numId="22" w16cid:durableId="28191787">
    <w:abstractNumId w:val="4"/>
    <w:lvlOverride w:ilvl="0">
      <w:lvl w:ilvl="0">
        <w:numFmt w:val="decimal"/>
        <w:lvlText w:val="%1."/>
        <w:lvlJc w:val="left"/>
      </w:lvl>
    </w:lvlOverride>
  </w:num>
  <w:num w:numId="23" w16cid:durableId="655959448">
    <w:abstractNumId w:val="0"/>
  </w:num>
  <w:num w:numId="24" w16cid:durableId="342319456">
    <w:abstractNumId w:val="1"/>
  </w:num>
  <w:num w:numId="25" w16cid:durableId="1853949938">
    <w:abstractNumId w:val="16"/>
    <w:lvlOverride w:ilvl="0">
      <w:lvl w:ilvl="0">
        <w:numFmt w:val="decimal"/>
        <w:lvlText w:val="%1."/>
        <w:lvlJc w:val="left"/>
      </w:lvl>
    </w:lvlOverride>
  </w:num>
  <w:num w:numId="26" w16cid:durableId="737366978">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D4"/>
    <w:rsid w:val="000F4F77"/>
    <w:rsid w:val="00145D84"/>
    <w:rsid w:val="006E24D4"/>
    <w:rsid w:val="00780F4B"/>
    <w:rsid w:val="009A057D"/>
    <w:rsid w:val="00C22692"/>
    <w:rsid w:val="00FC2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541F3AF"/>
  <w15:chartTrackingRefBased/>
  <w15:docId w15:val="{F63F0566-C8F8-8A4C-B6CB-621ACA3E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E2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E2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6E24D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E24D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E24D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E24D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E24D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E24D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E24D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24D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E24D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6E24D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E24D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E24D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E24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E24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E24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E24D4"/>
    <w:rPr>
      <w:rFonts w:eastAsiaTheme="majorEastAsia" w:cstheme="majorBidi"/>
      <w:color w:val="272727" w:themeColor="text1" w:themeTint="D8"/>
    </w:rPr>
  </w:style>
  <w:style w:type="paragraph" w:styleId="Rubrik">
    <w:name w:val="Title"/>
    <w:basedOn w:val="Normal"/>
    <w:next w:val="Normal"/>
    <w:link w:val="RubrikChar"/>
    <w:uiPriority w:val="10"/>
    <w:qFormat/>
    <w:rsid w:val="006E24D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24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E24D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E24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24D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E24D4"/>
    <w:rPr>
      <w:i/>
      <w:iCs/>
      <w:color w:val="404040" w:themeColor="text1" w:themeTint="BF"/>
    </w:rPr>
  </w:style>
  <w:style w:type="paragraph" w:styleId="Liststycke">
    <w:name w:val="List Paragraph"/>
    <w:basedOn w:val="Normal"/>
    <w:uiPriority w:val="34"/>
    <w:qFormat/>
    <w:rsid w:val="006E24D4"/>
    <w:pPr>
      <w:ind w:left="720"/>
      <w:contextualSpacing/>
    </w:pPr>
  </w:style>
  <w:style w:type="character" w:styleId="Starkbetoning">
    <w:name w:val="Intense Emphasis"/>
    <w:basedOn w:val="Standardstycketeckensnitt"/>
    <w:uiPriority w:val="21"/>
    <w:qFormat/>
    <w:rsid w:val="006E24D4"/>
    <w:rPr>
      <w:i/>
      <w:iCs/>
      <w:color w:val="0F4761" w:themeColor="accent1" w:themeShade="BF"/>
    </w:rPr>
  </w:style>
  <w:style w:type="paragraph" w:styleId="Starktcitat">
    <w:name w:val="Intense Quote"/>
    <w:basedOn w:val="Normal"/>
    <w:next w:val="Normal"/>
    <w:link w:val="StarktcitatChar"/>
    <w:uiPriority w:val="30"/>
    <w:qFormat/>
    <w:rsid w:val="006E2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E24D4"/>
    <w:rPr>
      <w:i/>
      <w:iCs/>
      <w:color w:val="0F4761" w:themeColor="accent1" w:themeShade="BF"/>
    </w:rPr>
  </w:style>
  <w:style w:type="character" w:styleId="Starkreferens">
    <w:name w:val="Intense Reference"/>
    <w:basedOn w:val="Standardstycketeckensnitt"/>
    <w:uiPriority w:val="32"/>
    <w:qFormat/>
    <w:rsid w:val="006E24D4"/>
    <w:rPr>
      <w:b/>
      <w:bCs/>
      <w:smallCaps/>
      <w:color w:val="0F4761" w:themeColor="accent1" w:themeShade="BF"/>
      <w:spacing w:val="5"/>
    </w:rPr>
  </w:style>
  <w:style w:type="paragraph" w:styleId="Normalwebb">
    <w:name w:val="Normal (Web)"/>
    <w:basedOn w:val="Normal"/>
    <w:uiPriority w:val="99"/>
    <w:semiHidden/>
    <w:unhideWhenUsed/>
    <w:rsid w:val="006E24D4"/>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semiHidden/>
    <w:unhideWhenUsed/>
    <w:rsid w:val="006E24D4"/>
    <w:rPr>
      <w:color w:val="0000FF"/>
      <w:u w:val="single"/>
    </w:rPr>
  </w:style>
  <w:style w:type="character" w:customStyle="1" w:styleId="apple-tab-span">
    <w:name w:val="apple-tab-span"/>
    <w:basedOn w:val="Standardstycketeckensnitt"/>
    <w:rsid w:val="006E2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4884">
      <w:bodyDiv w:val="1"/>
      <w:marLeft w:val="0"/>
      <w:marRight w:val="0"/>
      <w:marTop w:val="0"/>
      <w:marBottom w:val="0"/>
      <w:divBdr>
        <w:top w:val="none" w:sz="0" w:space="0" w:color="auto"/>
        <w:left w:val="none" w:sz="0" w:space="0" w:color="auto"/>
        <w:bottom w:val="none" w:sz="0" w:space="0" w:color="auto"/>
        <w:right w:val="none" w:sz="0" w:space="0" w:color="auto"/>
      </w:divBdr>
    </w:div>
    <w:div w:id="1091657687">
      <w:bodyDiv w:val="1"/>
      <w:marLeft w:val="0"/>
      <w:marRight w:val="0"/>
      <w:marTop w:val="0"/>
      <w:marBottom w:val="0"/>
      <w:divBdr>
        <w:top w:val="none" w:sz="0" w:space="0" w:color="auto"/>
        <w:left w:val="none" w:sz="0" w:space="0" w:color="auto"/>
        <w:bottom w:val="none" w:sz="0" w:space="0" w:color="auto"/>
        <w:right w:val="none" w:sz="0" w:space="0" w:color="auto"/>
      </w:divBdr>
      <w:divsChild>
        <w:div w:id="556010496">
          <w:marLeft w:val="-5"/>
          <w:marRight w:val="0"/>
          <w:marTop w:val="0"/>
          <w:marBottom w:val="0"/>
          <w:divBdr>
            <w:top w:val="none" w:sz="0" w:space="0" w:color="auto"/>
            <w:left w:val="none" w:sz="0" w:space="0" w:color="auto"/>
            <w:bottom w:val="none" w:sz="0" w:space="0" w:color="auto"/>
            <w:right w:val="none" w:sz="0" w:space="0" w:color="auto"/>
          </w:divBdr>
        </w:div>
        <w:div w:id="90587760">
          <w:marLeft w:val="137"/>
          <w:marRight w:val="0"/>
          <w:marTop w:val="0"/>
          <w:marBottom w:val="0"/>
          <w:divBdr>
            <w:top w:val="none" w:sz="0" w:space="0" w:color="auto"/>
            <w:left w:val="none" w:sz="0" w:space="0" w:color="auto"/>
            <w:bottom w:val="none" w:sz="0" w:space="0" w:color="auto"/>
            <w:right w:val="none" w:sz="0" w:space="0" w:color="auto"/>
          </w:divBdr>
        </w:div>
      </w:divsChild>
    </w:div>
    <w:div w:id="11360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attachment/25835c0c-5b0e-4e1e-86ea-2de8381d77b7" TargetMode="External"/><Relationship Id="rId5" Type="http://schemas.openxmlformats.org/officeDocument/2006/relationships/hyperlink" Target="http://www.powroty.gov.p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5225</Words>
  <Characters>27693</Characters>
  <Application>Microsoft Office Word</Application>
  <DocSecurity>0</DocSecurity>
  <Lines>230</Lines>
  <Paragraphs>65</Paragraphs>
  <ScaleCrop>false</ScaleCrop>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Sygnarek</dc:creator>
  <cp:keywords/>
  <dc:description/>
  <cp:lastModifiedBy>Teresa Sygnarek</cp:lastModifiedBy>
  <cp:revision>2</cp:revision>
  <dcterms:created xsi:type="dcterms:W3CDTF">2025-01-16T19:43:00Z</dcterms:created>
  <dcterms:modified xsi:type="dcterms:W3CDTF">2025-01-16T19:52:00Z</dcterms:modified>
</cp:coreProperties>
</file>